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hAnsi="宋体" w:eastAsia="方正小标宋简体" w:cs="宋体"/>
          <w:sz w:val="32"/>
          <w:szCs w:val="32"/>
        </w:rPr>
      </w:pPr>
      <w:r>
        <w:rPr>
          <w:rFonts w:hint="eastAsia" w:ascii="方正小标宋简体" w:hAnsi="宋体" w:eastAsia="方正小标宋简体" w:cs="宋体"/>
          <w:sz w:val="32"/>
          <w:szCs w:val="32"/>
        </w:rPr>
        <w:t>昌都市学生校服产品质量监督抽查实施细则</w:t>
      </w:r>
    </w:p>
    <w:p>
      <w:pPr>
        <w:spacing w:line="440" w:lineRule="exact"/>
        <w:jc w:val="center"/>
        <w:rPr>
          <w:rFonts w:ascii="方正小标宋简体" w:hAnsi="宋体" w:eastAsia="方正小标宋简体" w:cs="宋体"/>
          <w:sz w:val="32"/>
          <w:szCs w:val="32"/>
        </w:rPr>
      </w:pPr>
      <w:r>
        <w:rPr>
          <w:rFonts w:hint="eastAsia" w:ascii="方正小标宋简体" w:hAnsi="宋体" w:eastAsia="方正小标宋简体" w:cs="宋体"/>
          <w:sz w:val="32"/>
          <w:szCs w:val="32"/>
        </w:rPr>
        <w:t>(2025年版)</w:t>
      </w:r>
    </w:p>
    <w:p>
      <w:pPr>
        <w:spacing w:line="440" w:lineRule="exact"/>
        <w:rPr>
          <w:rFonts w:ascii="宋体" w:hAnsi="宋体" w:cs="宋体"/>
          <w:szCs w:val="21"/>
        </w:rPr>
      </w:pPr>
    </w:p>
    <w:p>
      <w:pPr>
        <w:widowControl/>
        <w:shd w:val="clear" w:color="auto" w:fill="FFFFFF"/>
        <w:spacing w:line="440" w:lineRule="exact"/>
        <w:rPr>
          <w:rFonts w:hint="eastAsia" w:ascii="黑体" w:hAnsi="黑体" w:eastAsia="黑体" w:cs="黑体"/>
          <w:szCs w:val="21"/>
        </w:rPr>
      </w:pPr>
      <w:bookmarkStart w:id="0" w:name="_GoBack"/>
      <w:r>
        <w:rPr>
          <w:rFonts w:hint="eastAsia" w:ascii="黑体" w:hAnsi="黑体" w:eastAsia="黑体" w:cs="黑体"/>
          <w:szCs w:val="21"/>
        </w:rPr>
        <w:t>1  抽样方法</w:t>
      </w:r>
    </w:p>
    <w:bookmarkEnd w:id="0"/>
    <w:p>
      <w:pPr>
        <w:widowControl/>
        <w:tabs>
          <w:tab w:val="center" w:pos="4201"/>
          <w:tab w:val="right" w:leader="dot" w:pos="9298"/>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以随机抽样的方式在被抽样销售者的待销产品中抽取。</w:t>
      </w:r>
    </w:p>
    <w:p>
      <w:pPr>
        <w:widowControl/>
        <w:tabs>
          <w:tab w:val="center" w:pos="4201"/>
          <w:tab w:val="right" w:leader="dot" w:pos="9298"/>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随机数一般可使用随机数表等方法产生。</w:t>
      </w:r>
    </w:p>
    <w:p>
      <w:pPr>
        <w:widowControl/>
        <w:tabs>
          <w:tab w:val="center" w:pos="4201"/>
          <w:tab w:val="right" w:leader="dot" w:pos="9298"/>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每批次样品抽取2件/套/条，其中1件/套/条作为检验样品，1件/套/条作为备用样品；若样品为短裙、短裤，则抽取3件/套/条，其中2件/套/条作为检验样品，1件/套/条作为备用样品。</w:t>
      </w:r>
    </w:p>
    <w:p>
      <w:pPr>
        <w:snapToGrid w:val="0"/>
        <w:spacing w:line="440" w:lineRule="exact"/>
        <w:ind w:firstLine="420" w:firstLineChars="200"/>
        <w:rPr>
          <w:rFonts w:ascii="宋体" w:hAnsi="宋体" w:cs="宋体"/>
          <w:color w:val="000000"/>
          <w:szCs w:val="21"/>
        </w:rPr>
      </w:pPr>
    </w:p>
    <w:p>
      <w:pPr>
        <w:widowControl/>
        <w:tabs>
          <w:tab w:val="center" w:pos="4201"/>
          <w:tab w:val="right" w:leader="dot" w:pos="9298"/>
        </w:tabs>
        <w:autoSpaceDE w:val="0"/>
        <w:autoSpaceDN w:val="0"/>
        <w:spacing w:line="440" w:lineRule="exact"/>
        <w:ind w:firstLine="420" w:firstLineChars="200"/>
        <w:rPr>
          <w:rFonts w:ascii="宋体" w:hAnsi="宋体" w:cs="宋体"/>
          <w:kern w:val="0"/>
          <w:szCs w:val="21"/>
        </w:rPr>
      </w:pPr>
    </w:p>
    <w:p>
      <w:pPr>
        <w:widowControl/>
        <w:shd w:val="clear" w:color="auto" w:fill="FFFFFF"/>
        <w:spacing w:line="440" w:lineRule="exact"/>
        <w:rPr>
          <w:rFonts w:hint="eastAsia" w:ascii="黑体" w:hAnsi="黑体" w:eastAsia="黑体" w:cs="黑体"/>
          <w:szCs w:val="21"/>
        </w:rPr>
      </w:pPr>
      <w:r>
        <w:rPr>
          <w:rFonts w:hint="eastAsia" w:ascii="黑体" w:hAnsi="黑体" w:eastAsia="黑体" w:cs="黑体"/>
          <w:szCs w:val="21"/>
        </w:rPr>
        <w:t>2  检验依据</w:t>
      </w:r>
    </w:p>
    <w:p>
      <w:pPr>
        <w:snapToGrid w:val="0"/>
        <w:spacing w:line="440" w:lineRule="exact"/>
        <w:jc w:val="center"/>
        <w:rPr>
          <w:rFonts w:ascii="宋体" w:hAnsi="宋体" w:cs="宋体"/>
          <w:color w:val="000000"/>
          <w:kern w:val="0"/>
          <w:szCs w:val="21"/>
        </w:rPr>
      </w:pPr>
      <w:r>
        <w:rPr>
          <w:rFonts w:hint="eastAsia" w:ascii="宋体" w:hAnsi="宋体" w:cs="宋体"/>
          <w:color w:val="000000"/>
          <w:kern w:val="0"/>
          <w:szCs w:val="21"/>
        </w:rPr>
        <w:t>表1 检验项目</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4009"/>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pPr>
              <w:spacing w:line="440" w:lineRule="exact"/>
              <w:jc w:val="center"/>
              <w:rPr>
                <w:rFonts w:ascii="宋体" w:hAnsi="宋体" w:cs="宋体"/>
                <w:color w:val="000000"/>
                <w:szCs w:val="21"/>
              </w:rPr>
            </w:pPr>
            <w:r>
              <w:rPr>
                <w:rFonts w:hint="eastAsia" w:ascii="宋体" w:hAnsi="宋体" w:cs="宋体"/>
                <w:color w:val="000000"/>
                <w:szCs w:val="21"/>
              </w:rPr>
              <w:t>序号</w:t>
            </w:r>
          </w:p>
        </w:tc>
        <w:tc>
          <w:tcPr>
            <w:tcW w:w="2186" w:type="pct"/>
            <w:vAlign w:val="center"/>
          </w:tcPr>
          <w:p>
            <w:pPr>
              <w:spacing w:line="440" w:lineRule="exact"/>
              <w:jc w:val="center"/>
              <w:rPr>
                <w:rFonts w:ascii="宋体" w:hAnsi="宋体" w:cs="宋体"/>
                <w:color w:val="000000"/>
                <w:szCs w:val="21"/>
              </w:rPr>
            </w:pPr>
            <w:r>
              <w:rPr>
                <w:rFonts w:hint="eastAsia" w:ascii="宋体" w:hAnsi="宋体" w:cs="宋体"/>
                <w:color w:val="000000"/>
                <w:szCs w:val="21"/>
              </w:rPr>
              <w:t>检验项目</w:t>
            </w:r>
          </w:p>
        </w:tc>
        <w:tc>
          <w:tcPr>
            <w:tcW w:w="2213" w:type="pct"/>
            <w:vAlign w:val="center"/>
          </w:tcPr>
          <w:p>
            <w:pPr>
              <w:spacing w:line="440" w:lineRule="exact"/>
              <w:jc w:val="center"/>
              <w:rPr>
                <w:rFonts w:ascii="宋体" w:hAnsi="宋体" w:cs="宋体"/>
                <w:color w:val="000000"/>
                <w:szCs w:val="21"/>
              </w:rPr>
            </w:pPr>
            <w:r>
              <w:rPr>
                <w:rFonts w:hint="eastAsia" w:ascii="宋体" w:hAnsi="宋体" w:cs="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1</w:t>
            </w:r>
          </w:p>
        </w:tc>
        <w:tc>
          <w:tcPr>
            <w:tcW w:w="2186" w:type="pct"/>
            <w:vAlign w:val="center"/>
          </w:tcPr>
          <w:p>
            <w:pPr>
              <w:spacing w:line="288" w:lineRule="auto"/>
              <w:jc w:val="center"/>
              <w:rPr>
                <w:rFonts w:ascii="宋体" w:hAnsi="宋体" w:cs="宋体"/>
                <w:color w:val="000000"/>
                <w:szCs w:val="21"/>
              </w:rPr>
            </w:pPr>
            <w:r>
              <w:rPr>
                <w:rFonts w:hint="eastAsia" w:ascii="宋体" w:hAnsi="宋体" w:cs="宋体"/>
                <w:szCs w:val="21"/>
              </w:rPr>
              <w:t>甲醛含量</w:t>
            </w:r>
          </w:p>
        </w:tc>
        <w:tc>
          <w:tcPr>
            <w:tcW w:w="2213" w:type="pct"/>
            <w:vAlign w:val="center"/>
          </w:tcPr>
          <w:p>
            <w:pPr>
              <w:spacing w:line="288" w:lineRule="auto"/>
              <w:jc w:val="center"/>
              <w:rPr>
                <w:rFonts w:ascii="宋体" w:hAnsi="宋体" w:cs="宋体"/>
                <w:szCs w:val="21"/>
              </w:rPr>
            </w:pPr>
            <w:r>
              <w:rPr>
                <w:rFonts w:hint="eastAsia" w:ascii="宋体" w:hAnsi="宋体" w:cs="宋体"/>
                <w:szCs w:val="21"/>
              </w:rPr>
              <w:t>GB 18401-2010</w:t>
            </w:r>
          </w:p>
          <w:p>
            <w:pPr>
              <w:spacing w:line="288" w:lineRule="auto"/>
              <w:jc w:val="center"/>
              <w:rPr>
                <w:rFonts w:ascii="宋体" w:hAnsi="宋体" w:cs="宋体"/>
                <w:szCs w:val="21"/>
              </w:rPr>
            </w:pPr>
            <w:r>
              <w:rPr>
                <w:rFonts w:hint="eastAsia" w:ascii="宋体" w:hAnsi="宋体" w:cs="宋体"/>
                <w:szCs w:val="21"/>
              </w:rPr>
              <w:t>GB 31701-2015</w:t>
            </w:r>
          </w:p>
          <w:p>
            <w:pPr>
              <w:spacing w:line="288" w:lineRule="auto"/>
              <w:jc w:val="center"/>
              <w:rPr>
                <w:rFonts w:ascii="宋体" w:hAnsi="宋体" w:cs="宋体"/>
                <w:szCs w:val="21"/>
              </w:rPr>
            </w:pPr>
            <w:r>
              <w:rPr>
                <w:rFonts w:hint="eastAsia" w:ascii="宋体" w:hAnsi="宋体" w:cs="宋体"/>
                <w:szCs w:val="21"/>
              </w:rPr>
              <w:t>GB/T 2912.1-2009</w:t>
            </w:r>
          </w:p>
          <w:p>
            <w:pPr>
              <w:spacing w:line="288" w:lineRule="auto"/>
              <w:jc w:val="center"/>
              <w:rPr>
                <w:rFonts w:ascii="宋体" w:hAnsi="宋体" w:cs="宋体"/>
                <w:szCs w:val="21"/>
              </w:rPr>
            </w:pPr>
            <w:r>
              <w:rPr>
                <w:rFonts w:hint="eastAsia" w:ascii="宋体" w:hAnsi="宋体" w:cs="宋体"/>
                <w:szCs w:val="21"/>
              </w:rPr>
              <w:t>相应产品标准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2</w:t>
            </w:r>
          </w:p>
        </w:tc>
        <w:tc>
          <w:tcPr>
            <w:tcW w:w="2186" w:type="pct"/>
            <w:vAlign w:val="center"/>
          </w:tcPr>
          <w:p>
            <w:pPr>
              <w:spacing w:line="288" w:lineRule="auto"/>
              <w:jc w:val="center"/>
              <w:rPr>
                <w:rFonts w:ascii="宋体" w:hAnsi="宋体" w:cs="宋体"/>
                <w:color w:val="000000"/>
                <w:szCs w:val="21"/>
              </w:rPr>
            </w:pPr>
            <w:r>
              <w:rPr>
                <w:rFonts w:hint="eastAsia" w:ascii="宋体" w:hAnsi="宋体" w:cs="宋体"/>
                <w:szCs w:val="21"/>
              </w:rPr>
              <w:t>pH值</w:t>
            </w:r>
          </w:p>
        </w:tc>
        <w:tc>
          <w:tcPr>
            <w:tcW w:w="2213" w:type="pct"/>
            <w:vAlign w:val="center"/>
          </w:tcPr>
          <w:p>
            <w:pPr>
              <w:spacing w:line="288" w:lineRule="auto"/>
              <w:jc w:val="center"/>
              <w:rPr>
                <w:rFonts w:ascii="宋体" w:hAnsi="宋体" w:cs="宋体"/>
                <w:szCs w:val="21"/>
              </w:rPr>
            </w:pPr>
            <w:r>
              <w:rPr>
                <w:rFonts w:hint="eastAsia" w:ascii="宋体" w:hAnsi="宋体" w:cs="宋体"/>
                <w:szCs w:val="21"/>
              </w:rPr>
              <w:t>GB 18401-2010</w:t>
            </w:r>
          </w:p>
          <w:p>
            <w:pPr>
              <w:spacing w:line="288" w:lineRule="auto"/>
              <w:jc w:val="center"/>
              <w:rPr>
                <w:rFonts w:ascii="宋体" w:hAnsi="宋体" w:cs="宋体"/>
                <w:szCs w:val="21"/>
              </w:rPr>
            </w:pPr>
            <w:r>
              <w:rPr>
                <w:rFonts w:hint="eastAsia" w:ascii="宋体" w:hAnsi="宋体" w:cs="宋体"/>
                <w:szCs w:val="21"/>
              </w:rPr>
              <w:t>GB 31701-2015</w:t>
            </w:r>
          </w:p>
          <w:p>
            <w:pPr>
              <w:spacing w:line="288" w:lineRule="auto"/>
              <w:jc w:val="center"/>
              <w:rPr>
                <w:rFonts w:ascii="宋体" w:hAnsi="宋体" w:cs="宋体"/>
                <w:szCs w:val="21"/>
              </w:rPr>
            </w:pPr>
            <w:r>
              <w:rPr>
                <w:rFonts w:hint="eastAsia" w:ascii="宋体" w:hAnsi="宋体" w:cs="宋体"/>
                <w:szCs w:val="21"/>
              </w:rPr>
              <w:t>GB/T 7573-2009</w:t>
            </w:r>
          </w:p>
          <w:p>
            <w:pPr>
              <w:spacing w:line="288" w:lineRule="auto"/>
              <w:jc w:val="center"/>
              <w:rPr>
                <w:rFonts w:ascii="宋体" w:hAnsi="宋体" w:cs="宋体"/>
                <w:szCs w:val="21"/>
              </w:rPr>
            </w:pPr>
            <w:r>
              <w:rPr>
                <w:rFonts w:hint="eastAsia" w:ascii="宋体" w:hAnsi="宋体" w:cs="宋体"/>
                <w:szCs w:val="21"/>
              </w:rPr>
              <w:t>相应产品标准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3</w:t>
            </w:r>
          </w:p>
        </w:tc>
        <w:tc>
          <w:tcPr>
            <w:tcW w:w="2186" w:type="pct"/>
            <w:vAlign w:val="center"/>
          </w:tcPr>
          <w:p>
            <w:pPr>
              <w:spacing w:line="288" w:lineRule="auto"/>
              <w:jc w:val="center"/>
              <w:rPr>
                <w:rFonts w:ascii="宋体" w:hAnsi="宋体" w:cs="宋体"/>
                <w:color w:val="000000"/>
                <w:szCs w:val="21"/>
              </w:rPr>
            </w:pPr>
            <w:r>
              <w:rPr>
                <w:rFonts w:hint="eastAsia" w:ascii="宋体" w:hAnsi="宋体" w:cs="宋体"/>
                <w:szCs w:val="21"/>
              </w:rPr>
              <w:t>可分解致癌芳香胺染料</w:t>
            </w:r>
            <w:r>
              <w:rPr>
                <w:rFonts w:hint="eastAsia" w:ascii="宋体" w:hAnsi="宋体"/>
                <w:color w:val="000000"/>
                <w:szCs w:val="21"/>
                <w:vertAlign w:val="superscript"/>
              </w:rPr>
              <w:t>①</w:t>
            </w:r>
          </w:p>
        </w:tc>
        <w:tc>
          <w:tcPr>
            <w:tcW w:w="2213" w:type="pct"/>
            <w:vAlign w:val="center"/>
          </w:tcPr>
          <w:p>
            <w:pPr>
              <w:spacing w:line="288" w:lineRule="auto"/>
              <w:jc w:val="center"/>
              <w:rPr>
                <w:rFonts w:ascii="宋体" w:hAnsi="宋体" w:cs="宋体"/>
                <w:szCs w:val="21"/>
              </w:rPr>
            </w:pPr>
            <w:r>
              <w:rPr>
                <w:rFonts w:hint="eastAsia" w:ascii="宋体" w:hAnsi="宋体" w:cs="宋体"/>
                <w:szCs w:val="21"/>
              </w:rPr>
              <w:t>GB 18401-2010</w:t>
            </w:r>
          </w:p>
          <w:p>
            <w:pPr>
              <w:spacing w:line="288" w:lineRule="auto"/>
              <w:jc w:val="center"/>
              <w:rPr>
                <w:rFonts w:ascii="宋体" w:hAnsi="宋体" w:cs="宋体"/>
                <w:szCs w:val="21"/>
              </w:rPr>
            </w:pPr>
            <w:r>
              <w:rPr>
                <w:rFonts w:hint="eastAsia" w:ascii="宋体" w:hAnsi="宋体" w:cs="宋体"/>
                <w:szCs w:val="21"/>
              </w:rPr>
              <w:t>GB 31701-2015</w:t>
            </w:r>
          </w:p>
          <w:p>
            <w:pPr>
              <w:spacing w:line="288" w:lineRule="auto"/>
              <w:jc w:val="center"/>
              <w:rPr>
                <w:rFonts w:ascii="宋体" w:hAnsi="宋体" w:cs="宋体"/>
                <w:szCs w:val="21"/>
              </w:rPr>
            </w:pPr>
            <w:r>
              <w:rPr>
                <w:rFonts w:hint="eastAsia" w:ascii="宋体" w:hAnsi="宋体" w:cs="宋体"/>
                <w:szCs w:val="21"/>
              </w:rPr>
              <w:t>GB/T 17592-2011</w:t>
            </w:r>
          </w:p>
          <w:p>
            <w:pPr>
              <w:spacing w:line="288" w:lineRule="auto"/>
              <w:jc w:val="center"/>
              <w:rPr>
                <w:rFonts w:ascii="宋体" w:hAnsi="宋体" w:cs="宋体"/>
                <w:szCs w:val="21"/>
              </w:rPr>
            </w:pPr>
            <w:r>
              <w:rPr>
                <w:rFonts w:hint="eastAsia" w:ascii="宋体" w:hAnsi="宋体" w:cs="宋体"/>
                <w:szCs w:val="21"/>
              </w:rPr>
              <w:t>GB/T 23344-2009</w:t>
            </w:r>
          </w:p>
          <w:p>
            <w:pPr>
              <w:spacing w:line="288" w:lineRule="auto"/>
              <w:jc w:val="center"/>
              <w:rPr>
                <w:rFonts w:ascii="宋体" w:hAnsi="宋体" w:cs="宋体"/>
                <w:szCs w:val="21"/>
              </w:rPr>
            </w:pPr>
            <w:r>
              <w:rPr>
                <w:rFonts w:hint="eastAsia" w:ascii="宋体" w:hAnsi="宋体" w:cs="宋体"/>
                <w:szCs w:val="21"/>
              </w:rPr>
              <w:t>相应产品标准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7</w:t>
            </w:r>
          </w:p>
        </w:tc>
        <w:tc>
          <w:tcPr>
            <w:tcW w:w="2186" w:type="pct"/>
            <w:vAlign w:val="center"/>
          </w:tcPr>
          <w:p>
            <w:pPr>
              <w:spacing w:line="288" w:lineRule="auto"/>
              <w:jc w:val="center"/>
              <w:rPr>
                <w:rFonts w:ascii="宋体" w:hAnsi="宋体" w:cs="宋体"/>
                <w:color w:val="000000"/>
                <w:szCs w:val="21"/>
              </w:rPr>
            </w:pPr>
            <w:r>
              <w:rPr>
                <w:rFonts w:hint="eastAsia" w:ascii="宋体" w:hAnsi="宋体" w:cs="宋体"/>
                <w:color w:val="000000"/>
                <w:szCs w:val="21"/>
              </w:rPr>
              <w:t>耐水色牢度</w:t>
            </w:r>
          </w:p>
        </w:tc>
        <w:tc>
          <w:tcPr>
            <w:tcW w:w="2213"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GB 18401-2010</w:t>
            </w:r>
          </w:p>
          <w:p>
            <w:pPr>
              <w:widowControl/>
              <w:spacing w:line="300" w:lineRule="exact"/>
              <w:jc w:val="center"/>
              <w:rPr>
                <w:rFonts w:ascii="宋体" w:hAnsi="宋体" w:cs="宋体"/>
                <w:color w:val="000000"/>
                <w:szCs w:val="21"/>
              </w:rPr>
            </w:pPr>
            <w:r>
              <w:rPr>
                <w:rFonts w:hint="eastAsia" w:ascii="宋体" w:hAnsi="宋体" w:cs="宋体"/>
                <w:color w:val="000000"/>
                <w:szCs w:val="21"/>
              </w:rPr>
              <w:t>GB 31701-2015</w:t>
            </w:r>
          </w:p>
          <w:p>
            <w:pPr>
              <w:spacing w:line="288" w:lineRule="auto"/>
              <w:jc w:val="center"/>
              <w:rPr>
                <w:rFonts w:ascii="宋体" w:hAnsi="宋体" w:cs="宋体"/>
                <w:color w:val="000000"/>
                <w:szCs w:val="21"/>
              </w:rPr>
            </w:pPr>
            <w:r>
              <w:rPr>
                <w:rFonts w:hint="eastAsia" w:ascii="宋体" w:hAnsi="宋体" w:cs="宋体"/>
                <w:color w:val="000000"/>
                <w:szCs w:val="21"/>
              </w:rPr>
              <w:t>GB/T 5713-2013</w:t>
            </w:r>
          </w:p>
          <w:p>
            <w:pPr>
              <w:spacing w:line="288" w:lineRule="auto"/>
              <w:jc w:val="center"/>
              <w:rPr>
                <w:rFonts w:ascii="宋体" w:hAnsi="宋体" w:cs="宋体"/>
                <w:color w:val="000000"/>
                <w:szCs w:val="21"/>
              </w:rPr>
            </w:pPr>
            <w:r>
              <w:rPr>
                <w:rFonts w:hint="eastAsia" w:ascii="宋体" w:hAnsi="宋体" w:cs="宋体"/>
                <w:szCs w:val="21"/>
              </w:rPr>
              <w:t>相应产品标准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8</w:t>
            </w:r>
          </w:p>
        </w:tc>
        <w:tc>
          <w:tcPr>
            <w:tcW w:w="2186"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耐汗渍色牢度</w:t>
            </w:r>
          </w:p>
        </w:tc>
        <w:tc>
          <w:tcPr>
            <w:tcW w:w="2213"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GB 18401-2010</w:t>
            </w:r>
          </w:p>
          <w:p>
            <w:pPr>
              <w:widowControl/>
              <w:spacing w:line="300" w:lineRule="exact"/>
              <w:jc w:val="center"/>
              <w:rPr>
                <w:rFonts w:ascii="宋体" w:hAnsi="宋体" w:cs="宋体"/>
                <w:color w:val="000000"/>
                <w:szCs w:val="21"/>
              </w:rPr>
            </w:pPr>
            <w:r>
              <w:rPr>
                <w:rFonts w:hint="eastAsia" w:ascii="宋体" w:hAnsi="宋体" w:cs="宋体"/>
                <w:color w:val="000000"/>
                <w:szCs w:val="21"/>
              </w:rPr>
              <w:t>GB 31701-2015</w:t>
            </w:r>
          </w:p>
          <w:p>
            <w:pPr>
              <w:widowControl/>
              <w:spacing w:line="300" w:lineRule="exact"/>
              <w:jc w:val="center"/>
              <w:rPr>
                <w:rFonts w:ascii="宋体" w:hAnsi="宋体" w:cs="宋体"/>
                <w:color w:val="000000"/>
                <w:szCs w:val="21"/>
              </w:rPr>
            </w:pPr>
            <w:r>
              <w:rPr>
                <w:rFonts w:hint="eastAsia" w:ascii="宋体" w:hAnsi="宋体" w:cs="宋体"/>
                <w:color w:val="000000"/>
                <w:szCs w:val="21"/>
              </w:rPr>
              <w:t>GB/T 3922-2013</w:t>
            </w:r>
          </w:p>
          <w:p>
            <w:pPr>
              <w:widowControl/>
              <w:spacing w:line="300" w:lineRule="exact"/>
              <w:jc w:val="center"/>
              <w:rPr>
                <w:rFonts w:ascii="宋体" w:hAnsi="宋体" w:cs="宋体"/>
                <w:color w:val="000000"/>
                <w:szCs w:val="21"/>
              </w:rPr>
            </w:pPr>
            <w:r>
              <w:rPr>
                <w:rFonts w:hint="eastAsia" w:ascii="宋体" w:hAnsi="宋体" w:cs="宋体"/>
                <w:color w:val="000000"/>
                <w:szCs w:val="21"/>
              </w:rPr>
              <w:t>相应产品标准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9</w:t>
            </w:r>
          </w:p>
        </w:tc>
        <w:tc>
          <w:tcPr>
            <w:tcW w:w="2186" w:type="pct"/>
            <w:vAlign w:val="center"/>
          </w:tcPr>
          <w:p>
            <w:pPr>
              <w:spacing w:line="288" w:lineRule="auto"/>
              <w:jc w:val="center"/>
              <w:rPr>
                <w:rFonts w:ascii="宋体" w:hAnsi="宋体" w:cs="宋体"/>
                <w:color w:val="000000"/>
                <w:szCs w:val="21"/>
              </w:rPr>
            </w:pPr>
            <w:r>
              <w:rPr>
                <w:rFonts w:hint="eastAsia" w:ascii="宋体" w:hAnsi="宋体" w:cs="宋体"/>
                <w:szCs w:val="21"/>
              </w:rPr>
              <w:t>耐干摩擦色牢度</w:t>
            </w:r>
          </w:p>
        </w:tc>
        <w:tc>
          <w:tcPr>
            <w:tcW w:w="2213" w:type="pct"/>
            <w:vAlign w:val="center"/>
          </w:tcPr>
          <w:p>
            <w:pPr>
              <w:spacing w:line="288" w:lineRule="auto"/>
              <w:jc w:val="center"/>
              <w:rPr>
                <w:rFonts w:ascii="宋体" w:hAnsi="宋体" w:cs="宋体"/>
                <w:szCs w:val="21"/>
              </w:rPr>
            </w:pPr>
            <w:r>
              <w:rPr>
                <w:rFonts w:hint="eastAsia" w:ascii="宋体" w:hAnsi="宋体" w:cs="宋体"/>
                <w:szCs w:val="21"/>
              </w:rPr>
              <w:t>GB 18401-2010</w:t>
            </w:r>
          </w:p>
          <w:p>
            <w:pPr>
              <w:spacing w:line="288" w:lineRule="auto"/>
              <w:jc w:val="center"/>
              <w:rPr>
                <w:rFonts w:ascii="宋体" w:hAnsi="宋体" w:cs="宋体"/>
                <w:szCs w:val="21"/>
              </w:rPr>
            </w:pPr>
            <w:r>
              <w:rPr>
                <w:rFonts w:hint="eastAsia" w:ascii="宋体" w:hAnsi="宋体" w:cs="宋体"/>
                <w:szCs w:val="21"/>
              </w:rPr>
              <w:t>GB 31701-2015</w:t>
            </w:r>
          </w:p>
          <w:p>
            <w:pPr>
              <w:spacing w:line="288" w:lineRule="auto"/>
              <w:jc w:val="center"/>
              <w:rPr>
                <w:rFonts w:ascii="宋体" w:hAnsi="宋体" w:cs="宋体"/>
                <w:szCs w:val="21"/>
              </w:rPr>
            </w:pPr>
            <w:r>
              <w:rPr>
                <w:rFonts w:hint="eastAsia" w:ascii="宋体" w:hAnsi="宋体" w:cs="宋体"/>
                <w:szCs w:val="21"/>
              </w:rPr>
              <w:t>GB/T 3920-2008</w:t>
            </w:r>
          </w:p>
          <w:p>
            <w:pPr>
              <w:spacing w:line="288" w:lineRule="auto"/>
              <w:jc w:val="center"/>
              <w:rPr>
                <w:rFonts w:ascii="宋体" w:hAnsi="宋体" w:cs="宋体"/>
                <w:color w:val="000000"/>
                <w:szCs w:val="21"/>
              </w:rPr>
            </w:pPr>
            <w:r>
              <w:rPr>
                <w:rFonts w:hint="eastAsia" w:ascii="宋体" w:hAnsi="宋体" w:cs="宋体"/>
                <w:szCs w:val="21"/>
              </w:rPr>
              <w:t>相应产品标准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pPr>
              <w:widowControl/>
              <w:spacing w:line="300" w:lineRule="exact"/>
              <w:jc w:val="center"/>
              <w:rPr>
                <w:rFonts w:ascii="宋体" w:hAnsi="宋体" w:cs="宋体"/>
                <w:color w:val="000000"/>
                <w:szCs w:val="21"/>
              </w:rPr>
            </w:pPr>
            <w:r>
              <w:rPr>
                <w:rFonts w:hint="eastAsia" w:ascii="宋体" w:hAnsi="宋体" w:cs="宋体"/>
                <w:color w:val="000000"/>
                <w:szCs w:val="21"/>
              </w:rPr>
              <w:t>10</w:t>
            </w:r>
          </w:p>
        </w:tc>
        <w:tc>
          <w:tcPr>
            <w:tcW w:w="2186" w:type="pct"/>
            <w:vAlign w:val="center"/>
          </w:tcPr>
          <w:p>
            <w:pPr>
              <w:spacing w:line="288" w:lineRule="auto"/>
              <w:jc w:val="center"/>
              <w:rPr>
                <w:rFonts w:ascii="宋体" w:hAnsi="宋体" w:cs="宋体"/>
                <w:color w:val="000000"/>
                <w:szCs w:val="21"/>
              </w:rPr>
            </w:pPr>
            <w:r>
              <w:rPr>
                <w:rFonts w:hint="eastAsia" w:ascii="宋体" w:hAnsi="宋体" w:cs="宋体"/>
                <w:szCs w:val="21"/>
              </w:rPr>
              <w:t>耐湿摩擦色牢度</w:t>
            </w:r>
          </w:p>
        </w:tc>
        <w:tc>
          <w:tcPr>
            <w:tcW w:w="2213" w:type="pct"/>
            <w:vAlign w:val="center"/>
          </w:tcPr>
          <w:p>
            <w:pPr>
              <w:spacing w:line="288" w:lineRule="auto"/>
              <w:jc w:val="center"/>
              <w:rPr>
                <w:rFonts w:ascii="宋体" w:hAnsi="宋体" w:cs="宋体"/>
                <w:szCs w:val="21"/>
              </w:rPr>
            </w:pPr>
            <w:r>
              <w:rPr>
                <w:rFonts w:hint="eastAsia" w:ascii="宋体" w:hAnsi="宋体" w:cs="宋体"/>
                <w:szCs w:val="21"/>
              </w:rPr>
              <w:t>GB 31701-2015</w:t>
            </w:r>
          </w:p>
          <w:p>
            <w:pPr>
              <w:spacing w:line="288" w:lineRule="auto"/>
              <w:jc w:val="center"/>
              <w:rPr>
                <w:rFonts w:ascii="宋体" w:hAnsi="宋体" w:cs="宋体"/>
                <w:szCs w:val="21"/>
              </w:rPr>
            </w:pPr>
            <w:r>
              <w:rPr>
                <w:rFonts w:hint="eastAsia" w:ascii="宋体" w:hAnsi="宋体" w:cs="宋体"/>
                <w:szCs w:val="21"/>
              </w:rPr>
              <w:t>GB/T 3920-2008</w:t>
            </w:r>
          </w:p>
          <w:p>
            <w:pPr>
              <w:spacing w:line="288" w:lineRule="auto"/>
              <w:jc w:val="center"/>
              <w:rPr>
                <w:rFonts w:ascii="宋体" w:hAnsi="宋体" w:cs="宋体"/>
                <w:color w:val="000000"/>
                <w:szCs w:val="21"/>
              </w:rPr>
            </w:pPr>
            <w:r>
              <w:rPr>
                <w:rFonts w:hint="eastAsia" w:ascii="宋体" w:hAnsi="宋体" w:cs="宋体"/>
                <w:szCs w:val="21"/>
              </w:rPr>
              <w:t>相应产品标准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snapToGrid w:val="0"/>
              <w:spacing w:line="440" w:lineRule="exact"/>
              <w:jc w:val="left"/>
              <w:rPr>
                <w:rFonts w:ascii="宋体" w:hAnsi="宋体"/>
                <w:color w:val="000000"/>
                <w:szCs w:val="21"/>
              </w:rPr>
            </w:pPr>
            <w:r>
              <w:rPr>
                <w:rFonts w:hint="eastAsia" w:ascii="宋体" w:hAnsi="宋体"/>
                <w:color w:val="000000"/>
                <w:szCs w:val="21"/>
              </w:rPr>
              <w:t>备注：</w:t>
            </w:r>
          </w:p>
          <w:p>
            <w:pPr>
              <w:snapToGrid w:val="0"/>
              <w:spacing w:line="440" w:lineRule="exact"/>
              <w:jc w:val="left"/>
              <w:rPr>
                <w:rFonts w:ascii="宋体" w:hAnsi="宋体"/>
                <w:color w:val="000000"/>
                <w:szCs w:val="21"/>
              </w:rPr>
            </w:pPr>
            <w:r>
              <w:rPr>
                <w:rFonts w:hint="eastAsia" w:ascii="宋体" w:hAnsi="宋体"/>
                <w:color w:val="000000"/>
                <w:szCs w:val="21"/>
              </w:rPr>
              <w:t>A、①纺织品可分解致癌芳香胺染料检测采用GC/MS定性，出现阳性结果时用HPLC/DAD进一步确认和定量。</w:t>
            </w:r>
          </w:p>
          <w:p>
            <w:pPr>
              <w:snapToGrid w:val="0"/>
              <w:spacing w:line="440" w:lineRule="exact"/>
              <w:jc w:val="left"/>
              <w:rPr>
                <w:rFonts w:ascii="宋体" w:hAnsi="宋体"/>
                <w:color w:val="000000"/>
                <w:szCs w:val="21"/>
              </w:rPr>
            </w:pPr>
            <w:r>
              <w:rPr>
                <w:rFonts w:hint="eastAsia" w:ascii="宋体" w:hAnsi="宋体"/>
                <w:color w:val="000000"/>
                <w:szCs w:val="21"/>
              </w:rPr>
              <w:t>B、若样品量不能满足所有试验要求，按照可分解致癌芳香胺染料、甲醛含量、pH值、耐水色牢度、耐汗渍色牢度、耐湿摩擦色牢度、耐干摩擦色牢度的取样顺序进行检测。</w:t>
            </w:r>
          </w:p>
          <w:p>
            <w:pPr>
              <w:spacing w:line="288" w:lineRule="auto"/>
              <w:rPr>
                <w:rFonts w:ascii="宋体" w:hAnsi="宋体" w:cs="宋体"/>
                <w:szCs w:val="21"/>
              </w:rPr>
            </w:pPr>
            <w:r>
              <w:rPr>
                <w:rFonts w:hint="eastAsia" w:ascii="宋体" w:hAnsi="宋体"/>
                <w:color w:val="000000"/>
                <w:szCs w:val="21"/>
              </w:rPr>
              <w:t>C、当样品形状、大小或重量等不能满足某个检测项目的样品需求时，该项目不予考核。</w:t>
            </w:r>
          </w:p>
        </w:tc>
      </w:tr>
    </w:tbl>
    <w:p>
      <w:pPr>
        <w:widowControl/>
        <w:spacing w:line="440" w:lineRule="exact"/>
        <w:ind w:firstLine="420" w:firstLineChars="200"/>
        <w:rPr>
          <w:rFonts w:ascii="宋体" w:hAnsi="宋体" w:cs="宋体"/>
          <w:color w:val="000000"/>
          <w:szCs w:val="21"/>
        </w:rPr>
      </w:pPr>
      <w:r>
        <w:rPr>
          <w:rFonts w:hint="eastAsia" w:ascii="宋体" w:hAnsi="宋体" w:cs="宋体"/>
          <w:color w:val="000000"/>
          <w:szCs w:val="21"/>
        </w:rPr>
        <w:t>执行企业标准、团体标准、地方标准的产品，检验项目参照上述内容执行。</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凡是注日期的文件，其随后所有的修改单（不包括勘误的内容）或修订版不适用于本细则。凡是不注日期的文件，其最新版本适用于本细则。</w:t>
      </w:r>
    </w:p>
    <w:p>
      <w:pPr>
        <w:spacing w:line="440" w:lineRule="exact"/>
        <w:ind w:firstLine="420" w:firstLineChars="200"/>
        <w:rPr>
          <w:rFonts w:ascii="宋体" w:hAnsi="宋体" w:cs="宋体"/>
          <w:color w:val="000000"/>
          <w:szCs w:val="21"/>
        </w:rPr>
      </w:pPr>
    </w:p>
    <w:p>
      <w:pPr>
        <w:widowControl/>
        <w:shd w:val="clear" w:color="auto" w:fill="FFFFFF"/>
        <w:spacing w:line="440" w:lineRule="exact"/>
        <w:rPr>
          <w:rFonts w:hint="eastAsia" w:ascii="黑体" w:hAnsi="黑体" w:eastAsia="黑体" w:cs="黑体"/>
          <w:szCs w:val="21"/>
        </w:rPr>
      </w:pPr>
      <w:r>
        <w:rPr>
          <w:rFonts w:hint="eastAsia" w:ascii="黑体" w:hAnsi="黑体" w:eastAsia="黑体" w:cs="黑体"/>
          <w:szCs w:val="21"/>
        </w:rPr>
        <w:t>3  判定规则</w:t>
      </w:r>
    </w:p>
    <w:p>
      <w:pPr>
        <w:widowControl/>
        <w:shd w:val="clear" w:color="auto" w:fill="FFFFFF"/>
        <w:spacing w:line="440" w:lineRule="exact"/>
        <w:rPr>
          <w:rFonts w:ascii="宋体" w:hAnsi="宋体" w:cs="宋体"/>
          <w:szCs w:val="21"/>
        </w:rPr>
      </w:pPr>
      <w:r>
        <w:rPr>
          <w:rFonts w:hint="eastAsia" w:ascii="宋体" w:hAnsi="宋体" w:cs="宋体"/>
          <w:szCs w:val="21"/>
        </w:rPr>
        <w:t>3.1  依据标准</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 18401-2010 国家纺织产品基本安全技术规范</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 31701-2015 婴幼儿及儿童纺织产品安全技术规范</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29862-2013 纺织品纤维含量的标识</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2660-2017 衬衫</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2662-2017 棉服装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2664-2017 男西服、大衣</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2665-2017 女西服、大衣</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2666-2017 西裤</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14272-2011 羽绒服装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14272-2021 羽绒服装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21980-2017 专业运动服和防护用品</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22849-2014 针织 T 恤衫</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 xml:space="preserve">GB/T 22853-2009 针织运动服 </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22853-2019 针织运动服</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22854-2009 针织学生服</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23328-2009 机织学生服</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26384-2011 针织棉服装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28468-2012 中小学生交通安全反光校服</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31888-2015 中小学生校服</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GB/T 32614-2016 户外运动服装 冲锋衣</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73005-2012 低含毛混纺及仿毛针织品</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73005-2021 低含毛混纺及仿毛针织品</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73018-2012 毛针织品</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73018-2021 毛针织品</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73020-2012 针织休闲服装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73020-2019 针织休闲服装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73026-2014 针织裙、裙套</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73029-2009 针织裤</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73029-2019 针织裤</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73053-2015 针织羽绒服装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73056-2016 针织西服</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73058-2017 针织大衣</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73061-2019 针织茄克衫</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73064-2019 针织西裤</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81004-2012 连衣裙、裙套</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81004-2022 连衣裙、裙套</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81006-2017 牛仔服装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81007-2012 单、夹服装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81007-2022单、夹服装</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81008-2011 茄克衫</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81008-2021 茄克衫</w:t>
      </w:r>
    </w:p>
    <w:p>
      <w:pPr>
        <w:widowControl/>
        <w:tabs>
          <w:tab w:val="center" w:pos="4201"/>
          <w:tab w:val="right" w:leader="dot" w:pos="9298"/>
        </w:tabs>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FZ/T 81010-2018 风衣</w:t>
      </w:r>
    </w:p>
    <w:p>
      <w:pPr>
        <w:widowControl/>
        <w:tabs>
          <w:tab w:val="center" w:pos="4201"/>
          <w:tab w:val="right" w:leader="dot" w:pos="9298"/>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现行有效的企业标准、团体标准、地方标准及产品明示质量要求</w:t>
      </w:r>
    </w:p>
    <w:p>
      <w:pPr>
        <w:spacing w:line="440" w:lineRule="exact"/>
        <w:outlineLvl w:val="0"/>
        <w:rPr>
          <w:rFonts w:ascii="宋体" w:hAnsi="宋体" w:cs="宋体"/>
          <w:szCs w:val="21"/>
        </w:rPr>
      </w:pPr>
      <w:r>
        <w:rPr>
          <w:rFonts w:hint="eastAsia" w:ascii="宋体" w:hAnsi="宋体" w:cs="宋体"/>
          <w:szCs w:val="21"/>
        </w:rPr>
        <w:t>3.2  判定原则</w:t>
      </w:r>
    </w:p>
    <w:p>
      <w:pPr>
        <w:widowControl/>
        <w:tabs>
          <w:tab w:val="center" w:pos="4201"/>
          <w:tab w:val="right" w:leader="dot" w:pos="9298"/>
        </w:tabs>
        <w:autoSpaceDE w:val="0"/>
        <w:autoSpaceDN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经检验，检验项目全部合格，判定为被抽查产品所检项目未发现不合格；检验项目中任一项或一项以上不合格，判定为被抽查产品不合格。</w:t>
      </w:r>
    </w:p>
    <w:p>
      <w:pPr>
        <w:widowControl/>
        <w:tabs>
          <w:tab w:val="center" w:pos="4201"/>
          <w:tab w:val="right" w:leader="dot" w:pos="9298"/>
        </w:tabs>
        <w:autoSpaceDE w:val="0"/>
        <w:autoSpaceDN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若被检产品明示的质量要求高于本细则中检验项目依据的标准要求时，应按被检产品明示的质量要求判定。</w:t>
      </w:r>
    </w:p>
    <w:p>
      <w:pPr>
        <w:widowControl/>
        <w:tabs>
          <w:tab w:val="center" w:pos="4201"/>
          <w:tab w:val="right" w:leader="dot" w:pos="9298"/>
        </w:tabs>
        <w:autoSpaceDE w:val="0"/>
        <w:autoSpaceDN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若被检产品明示的质量要求低于本细则中检验项目依据的强制性标准要求时，应按照强制性标准要求判定。</w:t>
      </w:r>
    </w:p>
    <w:p>
      <w:pPr>
        <w:widowControl/>
        <w:tabs>
          <w:tab w:val="center" w:pos="4201"/>
          <w:tab w:val="right" w:leader="dot" w:pos="9298"/>
        </w:tabs>
        <w:autoSpaceDE w:val="0"/>
        <w:autoSpaceDN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若被检产品明示的质量要求低于或包含本细则中检验项目依据的推荐性标准要求时，应以被检产品明示的质量要求判定。</w:t>
      </w:r>
    </w:p>
    <w:p>
      <w:pPr>
        <w:widowControl/>
        <w:tabs>
          <w:tab w:val="center" w:pos="4201"/>
          <w:tab w:val="right" w:leader="dot" w:pos="9298"/>
        </w:tabs>
        <w:autoSpaceDE w:val="0"/>
        <w:autoSpaceDN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若被检产品明示的质量要求缺少本细则中检验项目依据的强制性标准要求时，应按照强制性标准要求判定。</w:t>
      </w:r>
    </w:p>
    <w:p>
      <w:pPr>
        <w:widowControl/>
        <w:tabs>
          <w:tab w:val="center" w:pos="4201"/>
          <w:tab w:val="right" w:leader="dot" w:pos="9298"/>
        </w:tabs>
        <w:autoSpaceDE w:val="0"/>
        <w:autoSpaceDN w:val="0"/>
        <w:spacing w:line="440" w:lineRule="exact"/>
        <w:ind w:firstLine="420" w:firstLineChars="200"/>
        <w:rPr>
          <w:rFonts w:ascii="宋体" w:hAnsi="宋体" w:cs="宋体"/>
          <w:szCs w:val="21"/>
        </w:rPr>
      </w:pPr>
      <w:r>
        <w:rPr>
          <w:rFonts w:hint="eastAsia" w:ascii="宋体" w:hAnsi="宋体" w:cs="宋体"/>
          <w:color w:val="000000"/>
          <w:szCs w:val="21"/>
        </w:rPr>
        <w:t>若被检产品明示的质量要求缺少本细则中检验项目依据的推荐性标准要求时，该项目不参与判定。</w:t>
      </w:r>
    </w:p>
    <w:sectPr>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OGU4NGM0N2VhNDI3ZTQyYTE0ZTMzYTI1NTJjNmEifQ=="/>
  </w:docVars>
  <w:rsids>
    <w:rsidRoot w:val="00887E92"/>
    <w:rsid w:val="00085855"/>
    <w:rsid w:val="00171A43"/>
    <w:rsid w:val="001D434B"/>
    <w:rsid w:val="00284C96"/>
    <w:rsid w:val="002F104B"/>
    <w:rsid w:val="003538E8"/>
    <w:rsid w:val="0036009F"/>
    <w:rsid w:val="00396C33"/>
    <w:rsid w:val="0043393E"/>
    <w:rsid w:val="0043594A"/>
    <w:rsid w:val="00437FF1"/>
    <w:rsid w:val="004F7C2B"/>
    <w:rsid w:val="00500251"/>
    <w:rsid w:val="005D70D1"/>
    <w:rsid w:val="00690A1D"/>
    <w:rsid w:val="006C3E3B"/>
    <w:rsid w:val="007A6070"/>
    <w:rsid w:val="00804A46"/>
    <w:rsid w:val="00885184"/>
    <w:rsid w:val="00887E92"/>
    <w:rsid w:val="008A1385"/>
    <w:rsid w:val="008E06D7"/>
    <w:rsid w:val="00937442"/>
    <w:rsid w:val="00A64475"/>
    <w:rsid w:val="00A7658A"/>
    <w:rsid w:val="00A76B85"/>
    <w:rsid w:val="00B21C56"/>
    <w:rsid w:val="00B33CE7"/>
    <w:rsid w:val="00B62606"/>
    <w:rsid w:val="00C816DB"/>
    <w:rsid w:val="00CD2B57"/>
    <w:rsid w:val="00D4285E"/>
    <w:rsid w:val="00EA29EC"/>
    <w:rsid w:val="00F047F5"/>
    <w:rsid w:val="00F962A8"/>
    <w:rsid w:val="032C29A5"/>
    <w:rsid w:val="0689400F"/>
    <w:rsid w:val="07B307F2"/>
    <w:rsid w:val="0B0C382F"/>
    <w:rsid w:val="0B544033"/>
    <w:rsid w:val="113F46A0"/>
    <w:rsid w:val="13ED710E"/>
    <w:rsid w:val="155D7EBD"/>
    <w:rsid w:val="17C27093"/>
    <w:rsid w:val="17D77841"/>
    <w:rsid w:val="1D4A5897"/>
    <w:rsid w:val="21DD3EC9"/>
    <w:rsid w:val="2218272A"/>
    <w:rsid w:val="22A0194A"/>
    <w:rsid w:val="294C2B55"/>
    <w:rsid w:val="2C4B03C0"/>
    <w:rsid w:val="2E9037DF"/>
    <w:rsid w:val="33895014"/>
    <w:rsid w:val="34202983"/>
    <w:rsid w:val="3E1D3D5A"/>
    <w:rsid w:val="3F0E1E59"/>
    <w:rsid w:val="3FE52E19"/>
    <w:rsid w:val="4AB24C02"/>
    <w:rsid w:val="5CCC5557"/>
    <w:rsid w:val="5FD413EB"/>
    <w:rsid w:val="600C6C46"/>
    <w:rsid w:val="64AC05B7"/>
    <w:rsid w:val="6B3A6FBC"/>
    <w:rsid w:val="6DEF3A91"/>
    <w:rsid w:val="6F6774FE"/>
    <w:rsid w:val="6F772F24"/>
    <w:rsid w:val="73217FC1"/>
    <w:rsid w:val="7C5C550F"/>
    <w:rsid w:val="7F4B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unhideWhenUsed/>
    <w:qFormat/>
    <w:uiPriority w:val="99"/>
    <w:rPr>
      <w:sz w:val="21"/>
      <w:szCs w:val="21"/>
    </w:rPr>
  </w:style>
  <w:style w:type="character" w:customStyle="1" w:styleId="9">
    <w:name w:val="批注框文本 Char"/>
    <w:link w:val="3"/>
    <w:semiHidden/>
    <w:qFormat/>
    <w:uiPriority w:val="99"/>
    <w:rPr>
      <w:kern w:val="2"/>
      <w:sz w:val="18"/>
      <w:szCs w:val="18"/>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331</Words>
  <Characters>1890</Characters>
  <Lines>15</Lines>
  <Paragraphs>4</Paragraphs>
  <TotalTime>2</TotalTime>
  <ScaleCrop>false</ScaleCrop>
  <LinksUpToDate>false</LinksUpToDate>
  <CharactersWithSpaces>2217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2023-07-20T08:55:00Z</dcterms:created>
  <dc:creator>admin</dc:creator>
  <cp:lastModifiedBy>杨颖</cp:lastModifiedBy>
  <dcterms:modified xsi:type="dcterms:W3CDTF">2025-06-06T08:27:49Z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9DEC52322ED04B8BAF8257CE6F5F5509</vt:lpwstr>
  </property>
</Properties>
</file>