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08FC">
      <w:pPr>
        <w:spacing w:line="44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昌都市民族特色产品</w:t>
      </w:r>
      <w:r>
        <w:rPr>
          <w:rFonts w:hint="eastAsia" w:ascii="仿宋" w:hAnsi="仿宋" w:eastAsia="仿宋" w:cs="仿宋"/>
          <w:b/>
          <w:bCs/>
          <w:color w:val="000000"/>
          <w:sz w:val="36"/>
          <w:szCs w:val="36"/>
        </w:rPr>
        <w:t>产品质量监督抽查实施细则</w:t>
      </w:r>
    </w:p>
    <w:p w14:paraId="1BAFB681">
      <w:pPr>
        <w:spacing w:line="440" w:lineRule="exact"/>
        <w:ind w:firstLine="361" w:firstLineChars="171"/>
        <w:rPr>
          <w:b/>
          <w:bCs/>
          <w:color w:val="000000"/>
          <w:szCs w:val="21"/>
        </w:rPr>
      </w:pPr>
    </w:p>
    <w:p w14:paraId="4E5E7905">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26DB96EB">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1CD60051">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744CFDB7">
      <w:pPr>
        <w:snapToGrid w:val="0"/>
        <w:spacing w:line="440" w:lineRule="exact"/>
        <w:ind w:firstLine="420" w:firstLineChars="200"/>
        <w:rPr>
          <w:rFonts w:hint="eastAsia" w:ascii="黑体" w:hAnsi="宋体" w:eastAsia="黑体"/>
          <w:color w:val="000000"/>
          <w:szCs w:val="21"/>
        </w:rPr>
      </w:pPr>
      <w:r>
        <w:rPr>
          <w:rFonts w:hint="eastAsia" w:ascii="宋体" w:hAnsi="宋体"/>
          <w:color w:val="000000"/>
          <w:szCs w:val="21"/>
          <w:lang w:val="en-US" w:eastAsia="zh-CN"/>
        </w:rPr>
        <w:t>每批次抽样同一形状、同一规格产品随机抽取不少于100支(200g)，其中60支(120g)为检验样品，40支(80g)为备样。</w:t>
      </w:r>
    </w:p>
    <w:p w14:paraId="6C50F968">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2F23FB5C">
      <w:pPr>
        <w:snapToGrid w:val="0"/>
        <w:spacing w:line="440" w:lineRule="exact"/>
        <w:ind w:firstLine="3990" w:firstLineChars="1900"/>
        <w:jc w:val="both"/>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表1藏 香</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3809"/>
        <w:gridCol w:w="3963"/>
      </w:tblGrid>
      <w:tr w14:paraId="40B0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764" w:type="pct"/>
            <w:noWrap w:val="0"/>
            <w:vAlign w:val="center"/>
          </w:tcPr>
          <w:p w14:paraId="4DB0659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075" w:type="pct"/>
            <w:noWrap w:val="0"/>
            <w:vAlign w:val="center"/>
          </w:tcPr>
          <w:p w14:paraId="1EFCCC8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59" w:type="pct"/>
            <w:noWrap w:val="0"/>
            <w:vAlign w:val="center"/>
          </w:tcPr>
          <w:p w14:paraId="537E297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4CD1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64" w:type="pct"/>
            <w:noWrap w:val="0"/>
            <w:vAlign w:val="center"/>
          </w:tcPr>
          <w:p w14:paraId="19876FB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2075" w:type="pct"/>
            <w:noWrap w:val="0"/>
            <w:vAlign w:val="center"/>
          </w:tcPr>
          <w:p w14:paraId="20465B06">
            <w:pPr>
              <w:jc w:val="center"/>
              <w:rPr>
                <w:rFonts w:hint="eastAsia" w:ascii="宋体" w:hAnsi="宋体" w:eastAsia="宋体" w:cs="Times New Roman"/>
                <w:color w:val="000000"/>
                <w:szCs w:val="21"/>
                <w:lang w:val="en-US" w:eastAsia="zh-CN"/>
              </w:rPr>
            </w:pPr>
            <w:r>
              <w:rPr>
                <w:rFonts w:hint="eastAsia"/>
              </w:rPr>
              <w:t>香味</w:t>
            </w:r>
          </w:p>
        </w:tc>
        <w:tc>
          <w:tcPr>
            <w:tcW w:w="2159" w:type="pct"/>
            <w:noWrap w:val="0"/>
            <w:vAlign w:val="center"/>
          </w:tcPr>
          <w:p w14:paraId="2EAE2723">
            <w:pPr>
              <w:snapToGrid w:val="0"/>
              <w:spacing w:line="440" w:lineRule="exact"/>
              <w:jc w:val="center"/>
              <w:rPr>
                <w:rFonts w:hint="eastAsia"/>
                <w:lang w:val="en-US" w:eastAsia="zh-CN"/>
              </w:rPr>
            </w:pPr>
            <w:r>
              <w:rPr>
                <w:rFonts w:hint="eastAsia" w:ascii="宋体" w:hAnsi="宋体" w:eastAsia="宋体" w:cs="Times New Roman"/>
                <w:color w:val="000000"/>
                <w:szCs w:val="21"/>
                <w:lang w:val="en-US" w:eastAsia="zh-CN"/>
              </w:rPr>
              <w:t>GB/T 43430-2023</w:t>
            </w:r>
          </w:p>
        </w:tc>
      </w:tr>
      <w:tr w14:paraId="2B2E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pct"/>
            <w:noWrap w:val="0"/>
            <w:vAlign w:val="center"/>
          </w:tcPr>
          <w:p w14:paraId="6CDEDF9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075" w:type="pct"/>
            <w:noWrap w:val="0"/>
            <w:vAlign w:val="center"/>
          </w:tcPr>
          <w:p w14:paraId="47BAD6E0">
            <w:pPr>
              <w:jc w:val="center"/>
              <w:rPr>
                <w:rFonts w:hint="eastAsia" w:ascii="宋体" w:hAnsi="宋体" w:eastAsia="宋体" w:cs="Times New Roman"/>
                <w:color w:val="000000"/>
                <w:szCs w:val="21"/>
                <w:lang w:val="en-US" w:eastAsia="zh-CN"/>
              </w:rPr>
            </w:pPr>
            <w:r>
              <w:rPr>
                <w:rFonts w:hint="eastAsia"/>
              </w:rPr>
              <w:t>外观</w:t>
            </w:r>
          </w:p>
        </w:tc>
        <w:tc>
          <w:tcPr>
            <w:tcW w:w="2159" w:type="pct"/>
            <w:noWrap w:val="0"/>
            <w:vAlign w:val="center"/>
          </w:tcPr>
          <w:p w14:paraId="2902BDB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43430-2023</w:t>
            </w:r>
          </w:p>
        </w:tc>
      </w:tr>
      <w:tr w14:paraId="0F6C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64" w:type="pct"/>
            <w:noWrap w:val="0"/>
            <w:vAlign w:val="center"/>
          </w:tcPr>
          <w:p w14:paraId="75FFD16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2075" w:type="pct"/>
            <w:noWrap w:val="0"/>
            <w:vAlign w:val="center"/>
          </w:tcPr>
          <w:p w14:paraId="56560B8C">
            <w:pPr>
              <w:jc w:val="center"/>
              <w:rPr>
                <w:rFonts w:hint="eastAsia" w:ascii="宋体" w:hAnsi="宋体" w:eastAsia="宋体" w:cs="Times New Roman"/>
                <w:color w:val="000000"/>
                <w:szCs w:val="21"/>
                <w:lang w:val="en-US" w:eastAsia="zh-CN"/>
              </w:rPr>
            </w:pPr>
            <w:r>
              <w:rPr>
                <w:rFonts w:hint="eastAsia"/>
              </w:rPr>
              <w:t>脱圈性</w:t>
            </w:r>
          </w:p>
        </w:tc>
        <w:tc>
          <w:tcPr>
            <w:tcW w:w="2159" w:type="pct"/>
            <w:noWrap w:val="0"/>
            <w:vAlign w:val="center"/>
          </w:tcPr>
          <w:p w14:paraId="7B1606F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43430-2023</w:t>
            </w:r>
          </w:p>
        </w:tc>
      </w:tr>
      <w:tr w14:paraId="2F7B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4" w:type="pct"/>
            <w:noWrap w:val="0"/>
            <w:vAlign w:val="center"/>
          </w:tcPr>
          <w:p w14:paraId="232C598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2075" w:type="pct"/>
            <w:noWrap w:val="0"/>
            <w:vAlign w:val="center"/>
          </w:tcPr>
          <w:p w14:paraId="27161213">
            <w:pPr>
              <w:jc w:val="center"/>
              <w:rPr>
                <w:rFonts w:hint="eastAsia" w:ascii="宋体" w:hAnsi="宋体" w:eastAsia="宋体" w:cs="Times New Roman"/>
                <w:color w:val="000000"/>
                <w:szCs w:val="21"/>
                <w:lang w:val="en-US" w:eastAsia="zh-CN"/>
              </w:rPr>
            </w:pPr>
            <w:r>
              <w:rPr>
                <w:rFonts w:hint="eastAsia"/>
              </w:rPr>
              <w:t>水分及挥发物</w:t>
            </w:r>
          </w:p>
        </w:tc>
        <w:tc>
          <w:tcPr>
            <w:tcW w:w="2159" w:type="pct"/>
            <w:noWrap w:val="0"/>
            <w:vAlign w:val="center"/>
          </w:tcPr>
          <w:p w14:paraId="1F1DDAC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QB/T 1692.4-2023</w:t>
            </w:r>
          </w:p>
        </w:tc>
      </w:tr>
      <w:tr w14:paraId="1B47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4" w:type="pct"/>
            <w:noWrap w:val="0"/>
            <w:vAlign w:val="center"/>
          </w:tcPr>
          <w:p w14:paraId="33F309A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2075" w:type="pct"/>
            <w:noWrap w:val="0"/>
            <w:vAlign w:val="center"/>
          </w:tcPr>
          <w:p w14:paraId="299045E2">
            <w:pPr>
              <w:jc w:val="center"/>
              <w:rPr>
                <w:rFonts w:hint="eastAsia" w:ascii="宋体" w:hAnsi="宋体" w:eastAsia="宋体" w:cs="Times New Roman"/>
                <w:color w:val="000000"/>
                <w:szCs w:val="21"/>
                <w:lang w:val="en-US" w:eastAsia="zh-CN"/>
              </w:rPr>
            </w:pPr>
            <w:r>
              <w:rPr>
                <w:rFonts w:hint="eastAsia"/>
              </w:rPr>
              <w:t>铅</w:t>
            </w:r>
          </w:p>
        </w:tc>
        <w:tc>
          <w:tcPr>
            <w:tcW w:w="2159" w:type="pct"/>
            <w:noWrap w:val="0"/>
            <w:vAlign w:val="center"/>
          </w:tcPr>
          <w:p w14:paraId="56C3AC8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43430-2023</w:t>
            </w:r>
          </w:p>
        </w:tc>
      </w:tr>
      <w:tr w14:paraId="3E93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4" w:type="pct"/>
            <w:noWrap w:val="0"/>
            <w:vAlign w:val="center"/>
          </w:tcPr>
          <w:p w14:paraId="718E309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2075" w:type="pct"/>
            <w:noWrap w:val="0"/>
            <w:vAlign w:val="center"/>
          </w:tcPr>
          <w:p w14:paraId="5E12B8AB">
            <w:pPr>
              <w:jc w:val="center"/>
              <w:rPr>
                <w:rFonts w:hint="eastAsia" w:ascii="宋体" w:hAnsi="宋体" w:eastAsia="宋体" w:cs="Times New Roman"/>
                <w:color w:val="000000"/>
                <w:szCs w:val="21"/>
                <w:lang w:val="en-US" w:eastAsia="zh-CN"/>
              </w:rPr>
            </w:pPr>
            <w:r>
              <w:rPr>
                <w:rFonts w:hint="eastAsia"/>
              </w:rPr>
              <w:t>砷</w:t>
            </w:r>
          </w:p>
        </w:tc>
        <w:tc>
          <w:tcPr>
            <w:tcW w:w="2159" w:type="pct"/>
            <w:noWrap w:val="0"/>
            <w:vAlign w:val="center"/>
          </w:tcPr>
          <w:p w14:paraId="6FDD95E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43430-2023</w:t>
            </w:r>
          </w:p>
        </w:tc>
      </w:tr>
      <w:tr w14:paraId="499A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4" w:type="pct"/>
            <w:noWrap w:val="0"/>
            <w:vAlign w:val="center"/>
          </w:tcPr>
          <w:p w14:paraId="3B749D80">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2075" w:type="pct"/>
            <w:noWrap w:val="0"/>
            <w:vAlign w:val="center"/>
          </w:tcPr>
          <w:p w14:paraId="52832E2C">
            <w:pPr>
              <w:jc w:val="center"/>
              <w:rPr>
                <w:rFonts w:hint="eastAsia" w:ascii="宋体" w:hAnsi="宋体" w:eastAsia="宋体" w:cs="Times New Roman"/>
                <w:color w:val="000000"/>
                <w:szCs w:val="21"/>
                <w:lang w:val="en-US" w:eastAsia="zh-CN"/>
              </w:rPr>
            </w:pPr>
            <w:r>
              <w:rPr>
                <w:rFonts w:hint="eastAsia"/>
              </w:rPr>
              <w:t>汞</w:t>
            </w:r>
          </w:p>
        </w:tc>
        <w:tc>
          <w:tcPr>
            <w:tcW w:w="2159" w:type="pct"/>
            <w:noWrap w:val="0"/>
            <w:vAlign w:val="center"/>
          </w:tcPr>
          <w:p w14:paraId="696ABFE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43430-2023</w:t>
            </w:r>
          </w:p>
        </w:tc>
      </w:tr>
      <w:tr w14:paraId="5F9F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4" w:type="pct"/>
            <w:noWrap w:val="0"/>
            <w:vAlign w:val="center"/>
          </w:tcPr>
          <w:p w14:paraId="1684DAD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2075" w:type="pct"/>
            <w:noWrap w:val="0"/>
            <w:vAlign w:val="center"/>
          </w:tcPr>
          <w:p w14:paraId="564D709A">
            <w:pPr>
              <w:jc w:val="center"/>
              <w:rPr>
                <w:rFonts w:hint="eastAsia"/>
                <w:color w:val="0000FF"/>
              </w:rPr>
            </w:pPr>
            <w:r>
              <w:rPr>
                <w:rFonts w:hint="eastAsia"/>
              </w:rPr>
              <w:t>镉</w:t>
            </w:r>
          </w:p>
        </w:tc>
        <w:tc>
          <w:tcPr>
            <w:tcW w:w="2159" w:type="pct"/>
            <w:noWrap w:val="0"/>
            <w:vAlign w:val="center"/>
          </w:tcPr>
          <w:p w14:paraId="5D6B84C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43430-2023</w:t>
            </w:r>
          </w:p>
        </w:tc>
      </w:tr>
      <w:tr w14:paraId="230A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4" w:type="pct"/>
            <w:noWrap w:val="0"/>
            <w:vAlign w:val="center"/>
          </w:tcPr>
          <w:p w14:paraId="1489235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2075" w:type="pct"/>
            <w:noWrap w:val="0"/>
            <w:vAlign w:val="center"/>
          </w:tcPr>
          <w:p w14:paraId="75F9C327">
            <w:pPr>
              <w:jc w:val="center"/>
              <w:rPr>
                <w:rFonts w:hint="eastAsia"/>
                <w:color w:val="0000FF"/>
              </w:rPr>
            </w:pPr>
            <w:r>
              <w:rPr>
                <w:rFonts w:hint="eastAsia"/>
              </w:rPr>
              <w:t>铬</w:t>
            </w:r>
          </w:p>
        </w:tc>
        <w:tc>
          <w:tcPr>
            <w:tcW w:w="2159" w:type="pct"/>
            <w:noWrap w:val="0"/>
            <w:vAlign w:val="center"/>
          </w:tcPr>
          <w:p w14:paraId="39584F5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43430-2023</w:t>
            </w:r>
          </w:p>
        </w:tc>
      </w:tr>
      <w:tr w14:paraId="1C90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4" w:type="pct"/>
            <w:noWrap w:val="0"/>
            <w:vAlign w:val="center"/>
          </w:tcPr>
          <w:p w14:paraId="5B3175B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2075" w:type="pct"/>
            <w:noWrap w:val="0"/>
            <w:vAlign w:val="center"/>
          </w:tcPr>
          <w:p w14:paraId="30B976EE">
            <w:pPr>
              <w:jc w:val="center"/>
              <w:rPr>
                <w:rFonts w:hint="eastAsia"/>
                <w:color w:val="0000FF"/>
              </w:rPr>
            </w:pPr>
            <w:r>
              <w:rPr>
                <w:rFonts w:hint="eastAsia"/>
              </w:rPr>
              <w:t>燃烧安全性能</w:t>
            </w:r>
          </w:p>
        </w:tc>
        <w:tc>
          <w:tcPr>
            <w:tcW w:w="2159" w:type="pct"/>
            <w:noWrap w:val="0"/>
            <w:vAlign w:val="center"/>
          </w:tcPr>
          <w:p w14:paraId="4A30A11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43430-2023</w:t>
            </w:r>
          </w:p>
        </w:tc>
      </w:tr>
      <w:tr w14:paraId="616A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4" w:type="pct"/>
            <w:noWrap w:val="0"/>
            <w:vAlign w:val="center"/>
          </w:tcPr>
          <w:p w14:paraId="32C1BD4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11</w:t>
            </w:r>
          </w:p>
        </w:tc>
        <w:tc>
          <w:tcPr>
            <w:tcW w:w="2075" w:type="pct"/>
            <w:noWrap w:val="0"/>
            <w:vAlign w:val="center"/>
          </w:tcPr>
          <w:p w14:paraId="5F1FCD28">
            <w:pPr>
              <w:jc w:val="center"/>
              <w:rPr>
                <w:rFonts w:hint="eastAsia"/>
                <w:color w:val="0000FF"/>
              </w:rPr>
            </w:pPr>
            <w:r>
              <w:rPr>
                <w:rFonts w:hint="eastAsia"/>
              </w:rPr>
              <w:t>产品使用性能</w:t>
            </w:r>
          </w:p>
        </w:tc>
        <w:tc>
          <w:tcPr>
            <w:tcW w:w="2159" w:type="pct"/>
            <w:noWrap w:val="0"/>
            <w:vAlign w:val="center"/>
          </w:tcPr>
          <w:p w14:paraId="4E3046F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43430-2023</w:t>
            </w:r>
          </w:p>
        </w:tc>
      </w:tr>
    </w:tbl>
    <w:p w14:paraId="42C2BFC9">
      <w:pPr>
        <w:snapToGrid w:val="0"/>
        <w:spacing w:line="440" w:lineRule="exact"/>
        <w:rPr>
          <w:rFonts w:hint="eastAsia" w:ascii="宋体" w:hAnsi="宋体" w:eastAsia="宋体" w:cs="Times New Roman"/>
          <w:color w:val="000000"/>
          <w:szCs w:val="21"/>
        </w:rPr>
      </w:pPr>
    </w:p>
    <w:p w14:paraId="4EA3C95C">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表2燃香类产品</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3809"/>
        <w:gridCol w:w="3963"/>
      </w:tblGrid>
      <w:tr w14:paraId="4D1A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764" w:type="pct"/>
            <w:noWrap w:val="0"/>
            <w:vAlign w:val="center"/>
          </w:tcPr>
          <w:p w14:paraId="3DE399B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075" w:type="pct"/>
            <w:noWrap w:val="0"/>
            <w:vAlign w:val="center"/>
          </w:tcPr>
          <w:p w14:paraId="432CC1D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59" w:type="pct"/>
            <w:noWrap w:val="0"/>
            <w:vAlign w:val="center"/>
          </w:tcPr>
          <w:p w14:paraId="57CA97A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666A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64" w:type="pct"/>
            <w:noWrap w:val="0"/>
            <w:vAlign w:val="center"/>
          </w:tcPr>
          <w:p w14:paraId="53D5031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2075" w:type="pct"/>
            <w:noWrap w:val="0"/>
            <w:vAlign w:val="center"/>
          </w:tcPr>
          <w:p w14:paraId="5D6F153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宗教、礼仪、祭祀等公共场所用香尺寸</w:t>
            </w:r>
          </w:p>
        </w:tc>
        <w:tc>
          <w:tcPr>
            <w:tcW w:w="2159" w:type="pct"/>
            <w:noWrap w:val="0"/>
            <w:vAlign w:val="center"/>
          </w:tcPr>
          <w:p w14:paraId="21FFF6D4">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26386-2011</w:t>
            </w:r>
          </w:p>
        </w:tc>
      </w:tr>
      <w:tr w14:paraId="29C3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pct"/>
            <w:noWrap w:val="0"/>
            <w:vAlign w:val="center"/>
          </w:tcPr>
          <w:p w14:paraId="67281E9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075" w:type="pct"/>
            <w:noWrap w:val="0"/>
            <w:vAlign w:val="center"/>
          </w:tcPr>
          <w:p w14:paraId="4E1040A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燃烧安全性能</w:t>
            </w:r>
          </w:p>
        </w:tc>
        <w:tc>
          <w:tcPr>
            <w:tcW w:w="2159" w:type="pct"/>
            <w:noWrap w:val="0"/>
            <w:vAlign w:val="center"/>
          </w:tcPr>
          <w:p w14:paraId="0EC9EF9B">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26386-2011</w:t>
            </w:r>
          </w:p>
        </w:tc>
      </w:tr>
      <w:tr w14:paraId="7034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64" w:type="pct"/>
            <w:noWrap w:val="0"/>
            <w:vAlign w:val="center"/>
          </w:tcPr>
          <w:p w14:paraId="1643D66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2075" w:type="pct"/>
            <w:noWrap w:val="0"/>
            <w:vAlign w:val="center"/>
          </w:tcPr>
          <w:p w14:paraId="075B9F7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总挥发性有机物</w:t>
            </w:r>
          </w:p>
        </w:tc>
        <w:tc>
          <w:tcPr>
            <w:tcW w:w="2159" w:type="pct"/>
            <w:noWrap w:val="0"/>
            <w:vAlign w:val="center"/>
          </w:tcPr>
          <w:p w14:paraId="4A77B27D">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26393-2011</w:t>
            </w:r>
          </w:p>
        </w:tc>
      </w:tr>
      <w:tr w14:paraId="581A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4" w:type="pct"/>
            <w:noWrap w:val="0"/>
            <w:vAlign w:val="center"/>
          </w:tcPr>
          <w:p w14:paraId="7C8BB7E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2075" w:type="pct"/>
            <w:noWrap w:val="0"/>
            <w:vAlign w:val="center"/>
          </w:tcPr>
          <w:p w14:paraId="3F9DE81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铅</w:t>
            </w:r>
          </w:p>
        </w:tc>
        <w:tc>
          <w:tcPr>
            <w:tcW w:w="2159" w:type="pct"/>
            <w:noWrap w:val="0"/>
            <w:vAlign w:val="center"/>
          </w:tcPr>
          <w:p w14:paraId="7A4AB8BA">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26393-2011</w:t>
            </w:r>
          </w:p>
        </w:tc>
      </w:tr>
      <w:tr w14:paraId="26BA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4" w:type="pct"/>
            <w:noWrap w:val="0"/>
            <w:vAlign w:val="center"/>
          </w:tcPr>
          <w:p w14:paraId="5ABB7F5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2075" w:type="pct"/>
            <w:noWrap w:val="0"/>
            <w:vAlign w:val="center"/>
          </w:tcPr>
          <w:p w14:paraId="79A896F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镉</w:t>
            </w:r>
          </w:p>
        </w:tc>
        <w:tc>
          <w:tcPr>
            <w:tcW w:w="2159" w:type="pct"/>
            <w:noWrap w:val="0"/>
            <w:vAlign w:val="center"/>
          </w:tcPr>
          <w:p w14:paraId="4183F13E">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26393-2011</w:t>
            </w:r>
          </w:p>
        </w:tc>
      </w:tr>
      <w:tr w14:paraId="5BED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4" w:type="pct"/>
            <w:noWrap w:val="0"/>
            <w:vAlign w:val="center"/>
          </w:tcPr>
          <w:p w14:paraId="5551BF8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2075" w:type="pct"/>
            <w:noWrap w:val="0"/>
            <w:vAlign w:val="center"/>
          </w:tcPr>
          <w:p w14:paraId="7ABE255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汞</w:t>
            </w:r>
          </w:p>
        </w:tc>
        <w:tc>
          <w:tcPr>
            <w:tcW w:w="2159" w:type="pct"/>
            <w:noWrap w:val="0"/>
            <w:vAlign w:val="center"/>
          </w:tcPr>
          <w:p w14:paraId="21F88AFA">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26393-2011</w:t>
            </w:r>
          </w:p>
        </w:tc>
      </w:tr>
      <w:tr w14:paraId="7CA1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4" w:type="pct"/>
            <w:noWrap w:val="0"/>
            <w:vAlign w:val="center"/>
          </w:tcPr>
          <w:p w14:paraId="3C256B1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2075" w:type="pct"/>
            <w:noWrap w:val="0"/>
            <w:vAlign w:val="center"/>
          </w:tcPr>
          <w:p w14:paraId="2FC6D99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铬</w:t>
            </w:r>
          </w:p>
        </w:tc>
        <w:tc>
          <w:tcPr>
            <w:tcW w:w="2159" w:type="pct"/>
            <w:noWrap w:val="0"/>
            <w:vAlign w:val="center"/>
          </w:tcPr>
          <w:p w14:paraId="072C189B">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26393-2011</w:t>
            </w:r>
          </w:p>
        </w:tc>
      </w:tr>
      <w:tr w14:paraId="5A89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4" w:type="pct"/>
            <w:noWrap w:val="0"/>
            <w:vAlign w:val="center"/>
          </w:tcPr>
          <w:p w14:paraId="6D57318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2075" w:type="pct"/>
            <w:noWrap w:val="0"/>
            <w:vAlign w:val="center"/>
          </w:tcPr>
          <w:p w14:paraId="5091FF5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砷</w:t>
            </w:r>
          </w:p>
        </w:tc>
        <w:tc>
          <w:tcPr>
            <w:tcW w:w="2159" w:type="pct"/>
            <w:noWrap w:val="0"/>
            <w:vAlign w:val="center"/>
          </w:tcPr>
          <w:p w14:paraId="6F2A5079">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26393-2011</w:t>
            </w:r>
          </w:p>
        </w:tc>
      </w:tr>
      <w:tr w14:paraId="2F3C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4" w:type="pct"/>
            <w:noWrap w:val="0"/>
            <w:vAlign w:val="center"/>
          </w:tcPr>
          <w:p w14:paraId="1FCFED4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2075" w:type="pct"/>
            <w:noWrap w:val="0"/>
            <w:vAlign w:val="center"/>
          </w:tcPr>
          <w:p w14:paraId="0BB00FF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产品使用性能</w:t>
            </w:r>
          </w:p>
        </w:tc>
        <w:tc>
          <w:tcPr>
            <w:tcW w:w="2159" w:type="pct"/>
            <w:noWrap w:val="0"/>
            <w:vAlign w:val="center"/>
          </w:tcPr>
          <w:p w14:paraId="36690A32">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26386-2011</w:t>
            </w:r>
          </w:p>
        </w:tc>
      </w:tr>
    </w:tbl>
    <w:p w14:paraId="28A53DFC">
      <w:pPr>
        <w:snapToGrid w:val="0"/>
        <w:spacing w:line="440" w:lineRule="exact"/>
        <w:ind w:firstLine="420" w:firstLineChars="200"/>
        <w:rPr>
          <w:rFonts w:hint="eastAsia" w:ascii="宋体" w:hAnsi="宋体" w:eastAsia="宋体" w:cs="Times New Roman"/>
          <w:color w:val="000000"/>
          <w:szCs w:val="21"/>
        </w:rPr>
      </w:pPr>
      <w:bookmarkStart w:id="0" w:name="_GoBack"/>
      <w:bookmarkEnd w:id="0"/>
      <w:r>
        <w:rPr>
          <w:rFonts w:hint="eastAsia" w:ascii="宋体" w:hAnsi="宋体" w:eastAsia="宋体" w:cs="Times New Roman"/>
          <w:color w:val="000000"/>
          <w:szCs w:val="21"/>
        </w:rPr>
        <w:t>执行企业标准、团体标准、地方标准的产品，检验项目参照上述内容执行。</w:t>
      </w:r>
    </w:p>
    <w:p w14:paraId="455F4A7B">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凡是注日期的文件，其随后所有的修改单（不包括勘误的内容）或修订版不适用于本细则。凡是不注日期的文件，其最新版本适用于本细则。</w:t>
      </w:r>
    </w:p>
    <w:p w14:paraId="2C08099B">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A6051F6">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3.1依据标准</w:t>
      </w:r>
    </w:p>
    <w:p w14:paraId="536B3E34">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43430-2023藏香</w:t>
      </w:r>
    </w:p>
    <w:p w14:paraId="63F6CFAF">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26386-2011燃香类产品安全通用技术条件</w:t>
      </w:r>
    </w:p>
    <w:p w14:paraId="5C40758F">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相关的法律、行政法规、部门规章、规范性文件</w:t>
      </w:r>
    </w:p>
    <w:p w14:paraId="43D4E6DC">
      <w:pPr>
        <w:snapToGrid w:val="0"/>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现行有效的企业标准、团体标准、地方标准及产品明示质量要求</w:t>
      </w:r>
      <w:r>
        <w:rPr>
          <w:rFonts w:hint="eastAsia" w:ascii="宋体" w:hAnsi="宋体" w:eastAsia="宋体" w:cs="Times New Roman"/>
          <w:color w:val="000000"/>
          <w:szCs w:val="21"/>
          <w:lang w:eastAsia="zh-CN"/>
        </w:rPr>
        <w:t>。</w:t>
      </w:r>
    </w:p>
    <w:p w14:paraId="481942CD">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14:paraId="5D51061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14:paraId="5E0B3DE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若被检产品明示的质量要求高于本细则中检验项目依据的标准要求时，应按被检产品明示的质量要求判定。</w:t>
      </w:r>
    </w:p>
    <w:p w14:paraId="47BFB0A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若被检产品明示的质量要求低于本细则中检验项目依据的强制性标准要求时，应按照强制性标准要求判定。</w:t>
      </w:r>
    </w:p>
    <w:p w14:paraId="11360F03">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若被检产品明示的质量要求低于或包含本细则中检验项目依据的推荐性标准要求时，应以被检产品明示的质量要求判定。</w:t>
      </w:r>
    </w:p>
    <w:p w14:paraId="3D40889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若被检产品明示的质量要求缺少本细则中检验项目依据的强制性标准要求时，应按照强制性标准要求判定。</w:t>
      </w:r>
    </w:p>
    <w:p w14:paraId="6FBE1F35">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若被检产品明示的质量要求缺少本细则中检验项目依据的推荐性标准要求时，该项目不参与判定。</w:t>
      </w:r>
    </w:p>
    <w:p w14:paraId="64400B3B"/>
    <w:p w14:paraId="13F08BEE">
      <w:pPr>
        <w:rPr>
          <w:rFonts w:hint="eastAsia"/>
        </w:rPr>
      </w:pPr>
    </w:p>
    <w:p w14:paraId="0CFE3957">
      <w:pPr>
        <w:rPr>
          <w:rFonts w:hint="eastAsia"/>
        </w:rPr>
      </w:pP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CB22">
    <w:pPr>
      <w:pStyle w:val="2"/>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p w14:paraId="3D2CB227">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0612A">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057FA0CD">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DA94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13652"/>
    <w:rsid w:val="0BF13652"/>
    <w:rsid w:val="13C3447C"/>
    <w:rsid w:val="25BC5678"/>
    <w:rsid w:val="2D202427"/>
    <w:rsid w:val="3C7030B7"/>
    <w:rsid w:val="3F012216"/>
    <w:rsid w:val="47151E76"/>
    <w:rsid w:val="4B3115EC"/>
    <w:rsid w:val="619F045B"/>
    <w:rsid w:val="66782EA9"/>
    <w:rsid w:val="68205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761</Words>
  <Characters>1042</Characters>
  <Lines>0</Lines>
  <Paragraphs>0</Paragraphs>
  <TotalTime>0</TotalTime>
  <ScaleCrop>false</ScaleCrop>
  <LinksUpToDate>false</LinksUpToDate>
  <CharactersWithSpaces>1068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2025-05-27T06:09:00Z</dcterms:created>
  <dc:creator>lost、</dc:creator>
  <cp:lastModifiedBy>lost、</cp:lastModifiedBy>
  <dcterms:modified xsi:type="dcterms:W3CDTF">2025-05-28T02:32:29Z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AB0E86F4EDD540CEA75EC66E75108319_11</vt:lpwstr>
  </property>
  <property fmtid="{D5CDD505-2E9C-101B-9397-08002B2CF9AE}" pid="4" name="KSOTemplateDocerSaveRecord">
    <vt:lpwstr>eyJoZGlkIjoiNmQzYWM0MWRlODE1ZWI1OTE5MDAzZjNhNDFlOTZiYjEiLCJ1c2VySWQiOiIzODAwMjE2NjIifQ==</vt:lpwstr>
  </property>
</Properties>
</file>