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b w:val="0"/>
          <w:i w:val="0"/>
          <w:caps w:val="0"/>
          <w:color w:val="414141"/>
          <w:spacing w:val="8"/>
          <w:sz w:val="27"/>
          <w:szCs w:val="27"/>
          <w:bdr w:val="none" w:color="auto" w:sz="0" w:space="0"/>
          <w:shd w:val="clear" w:fill="FFFFFF"/>
        </w:rPr>
      </w:pPr>
      <w:bookmarkStart w:id="0" w:name="_GoBack"/>
      <w:r>
        <w:rPr>
          <w:rFonts w:hint="eastAsia" w:ascii="微软雅黑" w:hAnsi="微软雅黑" w:eastAsia="微软雅黑" w:cs="微软雅黑"/>
          <w:b/>
          <w:i w:val="0"/>
          <w:caps w:val="0"/>
          <w:color w:val="333333"/>
          <w:spacing w:val="8"/>
          <w:sz w:val="33"/>
          <w:szCs w:val="33"/>
          <w:bdr w:val="none" w:color="auto" w:sz="0" w:space="0"/>
          <w:shd w:val="clear" w:fill="FFFFFF"/>
        </w:rPr>
        <w:t>【两会进行时】在高质量发展道路上奋力前行</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隆冬时节的雪域高原，气温骤降，寒气逼人，但在拉林铁路建设工地上却呈现出一派火热景象：机器轰鸣，车辆穿梭，工人们正在为建成通车紧张忙碌着。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作为全区重点项目之一的拉林铁路建成通车后，将进一步优化和改善我区交通路网布局，为带动沿线经济社会发展注入新的活力。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在危机中育先机，在变局中开新局。“十三五”以来，一批体量巨大、实力雄厚的产业项目纷纷落户雪域高原，形成了一股推动区域经济高质量发展的强大力量。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Style w:val="6"/>
          <w:rFonts w:hint="eastAsia" w:ascii="微软雅黑" w:hAnsi="微软雅黑" w:eastAsia="微软雅黑" w:cs="微软雅黑"/>
          <w:i w:val="0"/>
          <w:caps w:val="0"/>
          <w:color w:val="414141"/>
          <w:spacing w:val="8"/>
          <w:sz w:val="27"/>
          <w:szCs w:val="27"/>
          <w:bdr w:val="none" w:color="auto" w:sz="0" w:space="0"/>
          <w:shd w:val="clear" w:fill="FFFFFF"/>
        </w:rPr>
        <w:t>产业引领——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Style w:val="6"/>
          <w:rFonts w:hint="eastAsia" w:ascii="微软雅黑" w:hAnsi="微软雅黑" w:eastAsia="微软雅黑" w:cs="微软雅黑"/>
          <w:i w:val="0"/>
          <w:caps w:val="0"/>
          <w:color w:val="414141"/>
          <w:spacing w:val="8"/>
          <w:sz w:val="27"/>
          <w:szCs w:val="27"/>
          <w:bdr w:val="none" w:color="auto" w:sz="0" w:space="0"/>
          <w:shd w:val="clear" w:fill="FFFFFF"/>
        </w:rPr>
        <w:t>打造高质量发展新引擎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产业项目是我区高质量发展的核心支撑。在高质量发展的征程中，我区聚焦“特色、集聚、整合、开放”的发展路径，加快优化资源要素配置和产业空间布局，将高原生物产业、旅游文化产业、清洁能源产业、绿色工业、现代服务业、高新数字产业、边贸物流业“七大产业” 列为重点发展产业，为我区经济发展注入了强劲活力，铺就了一条具有西藏特色的高质量发展之路。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旅游文化产业是我区因地制宜重点发展的“七大产业”之一。“十三五”期间，我区高度重视发展旅游文化产业，不断加大基础设施建设力度，大力培育旅游文化市场，积极打造多层次文化旅游产品，推进产业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自治区人大列席人员、自治区旅发厅党组书记黄永清告诉记者：“《文成公主》大型史诗实景剧演出7年以来，不仅为我区文化事业的繁荣发展和文旅产业的提档升级起到了重要作用，同时有力促进了当地老百姓脱贫致富，实现社会效益与经济效益相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文旅产业不仅成为我区经济新的增长点，文旅融合也为群众致富提供了契机。64岁的村民索朗次仁已在剧场工作7年，他和自家的130只羊会出现在剧中，他6个月的演出就可以收入7万多元。在我区，“文化搭台、旅游唱戏”已成普遍，文化旅游产业成为西藏经济发展新的引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Style w:val="6"/>
          <w:rFonts w:hint="eastAsia" w:ascii="微软雅黑" w:hAnsi="微软雅黑" w:eastAsia="微软雅黑" w:cs="微软雅黑"/>
          <w:i w:val="0"/>
          <w:caps w:val="0"/>
          <w:color w:val="414141"/>
          <w:spacing w:val="8"/>
          <w:sz w:val="27"/>
          <w:szCs w:val="27"/>
          <w:bdr w:val="none" w:color="auto" w:sz="0" w:space="0"/>
          <w:shd w:val="clear" w:fill="FFFFFF"/>
        </w:rPr>
        <w:t>民生改善——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Style w:val="6"/>
          <w:rFonts w:hint="eastAsia" w:ascii="微软雅黑" w:hAnsi="微软雅黑" w:eastAsia="微软雅黑" w:cs="微软雅黑"/>
          <w:i w:val="0"/>
          <w:caps w:val="0"/>
          <w:color w:val="414141"/>
          <w:spacing w:val="8"/>
          <w:sz w:val="27"/>
          <w:szCs w:val="27"/>
          <w:bdr w:val="none" w:color="auto" w:sz="0" w:space="0"/>
          <w:shd w:val="clear" w:fill="FFFFFF"/>
        </w:rPr>
        <w:t>共享高质量幸福新生活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十三五”以来，自治区党委、政府坚持把改善民生、凝聚人心作为经济社会发展的出发点和落脚点，把资金用到基层、用到民生领域，交出了一份让群众满意的民生答卷：我区历史性消除绝对贫困，全区62.8万贫困人口全部脱贫、74个县（区）全部摘帽；扎实开展稳就业工作，越来越多的农牧民群众通过务工增加家庭经济收入；教育事业取得新成就，“5个100%”目标全面完成，高中阶段教育普及攻坚如期完成，新建学校（幼儿园）1340所，“互联网+教育”实现中小学校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过去村里是人畜共饮，现在全村123户都住上了新房、523人都喝上了安全饮用水。”日喀则市萨嘎县昌果乡亚卡亚村党支部书记贡嘎在接受记者电话采访时激动地说，“现在，我们村拥有多种产业，并且规模还在不断壮大，我坚信我们的日子一定会越过越好。”随着贫困的消除，西藏农牧民的钱袋子也越来越“鼓”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民生无小事，枝叶总关情。住有所居，承载着老百姓最朴实的期待与梦想。“十三五”时期，我区实施各类城镇保障性住房23万套，完成棚户区改造及设施配套13万套。城市建成区绿地面积大幅增加，绿地率达35.3%。建成79座供水厂，城市供水普及率提高9.8个百分点，城市管网全面建成。城镇化率从27%增加到32%。目前，以拉萨为中心、地区城市为节点、县城为基础、具有西藏特点的新型城镇化在青藏高原稳步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Style w:val="6"/>
          <w:rFonts w:hint="eastAsia" w:ascii="微软雅黑" w:hAnsi="微软雅黑" w:eastAsia="微软雅黑" w:cs="微软雅黑"/>
          <w:i w:val="0"/>
          <w:caps w:val="0"/>
          <w:color w:val="414141"/>
          <w:spacing w:val="8"/>
          <w:sz w:val="27"/>
          <w:szCs w:val="27"/>
          <w:bdr w:val="none" w:color="auto" w:sz="0" w:space="0"/>
          <w:shd w:val="clear" w:fill="FFFFFF"/>
        </w:rPr>
        <w:t>生态优先——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Style w:val="6"/>
          <w:rFonts w:hint="eastAsia" w:ascii="微软雅黑" w:hAnsi="微软雅黑" w:eastAsia="微软雅黑" w:cs="微软雅黑"/>
          <w:i w:val="0"/>
          <w:caps w:val="0"/>
          <w:color w:val="414141"/>
          <w:spacing w:val="8"/>
          <w:sz w:val="27"/>
          <w:szCs w:val="27"/>
          <w:bdr w:val="none" w:color="auto" w:sz="0" w:space="0"/>
          <w:shd w:val="clear" w:fill="FFFFFF"/>
        </w:rPr>
        <w:t>提亮高质量发展新成色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绿水青山就是金山银山。“十三五”以来，我区坚持在建设中保护、在保护中发展，全区上下牢固树立绿色发展理念，打造碧水蓝天主色调，生态、生产、生活“三生共融”理念有效落实，环境质量持续改善，生态环境比较优势日益突出，实现了经济发展与环境保护的双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我区是国家重要的生态安全屏障。目前，我区已完成74个县（区）生态保护红线划定工作，面积达53.9万平方公里，占全区国土面积的45%；推进国土空间规划，实施生态环境分区管控，建设各类生态功能保护区22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无论是在首府拉萨，还是在阿里地区，即使发展愿望再迫切，都会严把项目建设环保准入关、资源消耗关、产业政策关，严格执行环境影响评价制度。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自治区人大列席人员，自治区生态环境厅党组书记、副厅长胡为民说：“一切开发建设项目优先考虑生态环境承载力，对不符合环境保护法和产业政策的项目，坚决不予审批。近5年，任何‘三高’项目都未引入我区，从源头上遏制了环境污染与生态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正是这一点一滴的努力和大量行之有效的环保举措，使西藏仍是世界上生态环境最好的地区之一。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20"/>
        <w:jc w:val="left"/>
        <w:rPr>
          <w:rFonts w:hint="eastAsia" w:ascii="微软雅黑" w:hAnsi="微软雅黑" w:eastAsia="微软雅黑" w:cs="微软雅黑"/>
          <w:b w:val="0"/>
          <w:i w:val="0"/>
          <w:caps w:val="0"/>
          <w:color w:val="414141"/>
          <w:spacing w:val="8"/>
          <w:sz w:val="27"/>
          <w:szCs w:val="27"/>
        </w:rPr>
      </w:pPr>
      <w:r>
        <w:rPr>
          <w:rFonts w:hint="eastAsia" w:ascii="微软雅黑" w:hAnsi="微软雅黑" w:eastAsia="微软雅黑" w:cs="微软雅黑"/>
          <w:b w:val="0"/>
          <w:i w:val="0"/>
          <w:caps w:val="0"/>
          <w:color w:val="414141"/>
          <w:spacing w:val="8"/>
          <w:sz w:val="27"/>
          <w:szCs w:val="27"/>
          <w:bdr w:val="none" w:color="auto" w:sz="0" w:space="0"/>
          <w:shd w:val="clear" w:fill="FFFFFF"/>
        </w:rPr>
        <w:t>如今，雪域高原350万各族儿女在党中央的亲切关怀下，告别了贫困，过上了比以往任何时期都好的幸福生活。雪域高原正以奔跑的姿态，书写着高质量发展的新篇章，为建设社会主义现代化强国贡献着西藏力量。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5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2021-01-22T09:20:51Z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