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0978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</w:pPr>
      <w:bookmarkStart w:id="0" w:name="_GoBack"/>
      <w:bookmarkEnd w:id="0"/>
    </w:p>
    <w:p w14:paraId="2B9F3148">
      <w:pPr>
        <w:pStyle w:val="2"/>
        <w:spacing w:line="260" w:lineRule="auto"/>
      </w:pPr>
    </w:p>
    <w:p w14:paraId="7BBE5492">
      <w:pPr>
        <w:pStyle w:val="2"/>
        <w:spacing w:line="260" w:lineRule="auto"/>
      </w:pPr>
    </w:p>
    <w:p w14:paraId="6689496B">
      <w:pPr>
        <w:pStyle w:val="2"/>
        <w:spacing w:line="260" w:lineRule="auto"/>
      </w:pPr>
    </w:p>
    <w:p w14:paraId="711B0CB2">
      <w:pPr>
        <w:pStyle w:val="2"/>
        <w:spacing w:line="260" w:lineRule="auto"/>
      </w:pPr>
    </w:p>
    <w:p w14:paraId="039FA2B9">
      <w:pPr>
        <w:pStyle w:val="2"/>
        <w:spacing w:line="260" w:lineRule="auto"/>
      </w:pPr>
    </w:p>
    <w:p w14:paraId="0C3D9FD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2EB1E97C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52"/>
          <w:szCs w:val="52"/>
          <w:lang w:eastAsia="zh-CN"/>
        </w:rPr>
      </w:pPr>
    </w:p>
    <w:p w14:paraId="31C0E710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江达县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国土空间总体规划动态维护方案</w:t>
      </w:r>
    </w:p>
    <w:p w14:paraId="57033122">
      <w:pPr>
        <w:spacing w:before="223" w:line="240" w:lineRule="auto"/>
        <w:ind w:left="231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</w:rPr>
        <w:t>2026 年度</w:t>
      </w:r>
      <w:r>
        <w:rPr>
          <w:rFonts w:hint="eastAsia" w:ascii="方正小标宋_GBK" w:hAnsi="方正小标宋_GBK" w:eastAsia="方正小标宋_GBK" w:cs="方正小标宋_GBK"/>
          <w:spacing w:val="-2"/>
          <w:sz w:val="44"/>
          <w:szCs w:val="44"/>
          <w:lang w:eastAsia="zh-CN"/>
        </w:rPr>
        <w:t>）</w:t>
      </w:r>
    </w:p>
    <w:p w14:paraId="5FF76403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76C12A3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05266156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53357CFB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28CB1D6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45D081B7">
      <w:pPr>
        <w:spacing w:before="13" w:line="227" w:lineRule="auto"/>
        <w:ind w:left="3357"/>
        <w:rPr>
          <w:rFonts w:ascii="楷体" w:hAnsi="楷体" w:eastAsia="楷体" w:cs="楷体"/>
          <w:spacing w:val="18"/>
          <w:sz w:val="35"/>
          <w:szCs w:val="35"/>
        </w:rPr>
      </w:pPr>
    </w:p>
    <w:p w14:paraId="1BDF66CF">
      <w:pPr>
        <w:spacing w:before="13" w:line="227" w:lineRule="auto"/>
        <w:ind w:left="3357"/>
        <w:rPr>
          <w:rFonts w:ascii="楷体" w:hAnsi="楷体" w:eastAsia="楷体" w:cs="楷体"/>
          <w:sz w:val="35"/>
          <w:szCs w:val="35"/>
        </w:rPr>
      </w:pPr>
      <w:r>
        <w:rPr>
          <w:rFonts w:ascii="楷体" w:hAnsi="楷体" w:eastAsia="楷体" w:cs="楷体"/>
          <w:spacing w:val="18"/>
          <w:sz w:val="35"/>
          <w:szCs w:val="35"/>
        </w:rPr>
        <w:t>（公示稿）</w:t>
      </w:r>
    </w:p>
    <w:p w14:paraId="2CBFA08D">
      <w:pPr>
        <w:pStyle w:val="2"/>
        <w:spacing w:line="246" w:lineRule="auto"/>
      </w:pPr>
    </w:p>
    <w:p w14:paraId="13A8D4AF">
      <w:pPr>
        <w:pStyle w:val="2"/>
        <w:spacing w:line="246" w:lineRule="auto"/>
      </w:pPr>
    </w:p>
    <w:p w14:paraId="477A64B1">
      <w:pPr>
        <w:pStyle w:val="2"/>
        <w:spacing w:line="246" w:lineRule="auto"/>
      </w:pPr>
    </w:p>
    <w:p w14:paraId="7B38691C">
      <w:pPr>
        <w:pStyle w:val="2"/>
        <w:spacing w:line="246" w:lineRule="auto"/>
      </w:pPr>
    </w:p>
    <w:p w14:paraId="194CAE77">
      <w:pPr>
        <w:pStyle w:val="2"/>
        <w:spacing w:line="246" w:lineRule="auto"/>
      </w:pPr>
    </w:p>
    <w:p w14:paraId="32E844F0">
      <w:pPr>
        <w:pStyle w:val="2"/>
        <w:spacing w:line="246" w:lineRule="auto"/>
      </w:pPr>
    </w:p>
    <w:p w14:paraId="382F9658">
      <w:pPr>
        <w:pStyle w:val="2"/>
        <w:spacing w:line="247" w:lineRule="auto"/>
      </w:pPr>
    </w:p>
    <w:p w14:paraId="3BA9B4F8">
      <w:pPr>
        <w:pStyle w:val="2"/>
        <w:spacing w:line="247" w:lineRule="auto"/>
      </w:pPr>
    </w:p>
    <w:p w14:paraId="40013263">
      <w:pPr>
        <w:pStyle w:val="2"/>
        <w:spacing w:line="247" w:lineRule="auto"/>
      </w:pPr>
    </w:p>
    <w:p w14:paraId="05C569F7">
      <w:pPr>
        <w:pStyle w:val="2"/>
        <w:spacing w:line="247" w:lineRule="auto"/>
      </w:pPr>
    </w:p>
    <w:p w14:paraId="6E2322D2">
      <w:pPr>
        <w:pStyle w:val="2"/>
        <w:spacing w:line="247" w:lineRule="auto"/>
      </w:pPr>
    </w:p>
    <w:p w14:paraId="356BE6CE">
      <w:pPr>
        <w:pStyle w:val="2"/>
        <w:spacing w:line="247" w:lineRule="auto"/>
      </w:pPr>
    </w:p>
    <w:p w14:paraId="4CF825A5">
      <w:pPr>
        <w:pStyle w:val="2"/>
        <w:spacing w:line="247" w:lineRule="auto"/>
      </w:pPr>
    </w:p>
    <w:p w14:paraId="221C4849">
      <w:pPr>
        <w:pStyle w:val="2"/>
        <w:spacing w:line="247" w:lineRule="auto"/>
      </w:pPr>
    </w:p>
    <w:p w14:paraId="5B2FF37F">
      <w:pPr>
        <w:pStyle w:val="2"/>
        <w:spacing w:line="247" w:lineRule="auto"/>
      </w:pPr>
    </w:p>
    <w:p w14:paraId="3D52678F">
      <w:pPr>
        <w:pStyle w:val="2"/>
        <w:spacing w:line="247" w:lineRule="auto"/>
      </w:pPr>
    </w:p>
    <w:p w14:paraId="1BB03C6C">
      <w:pPr>
        <w:pStyle w:val="2"/>
        <w:spacing w:line="247" w:lineRule="auto"/>
      </w:pPr>
    </w:p>
    <w:p w14:paraId="042CE2AB">
      <w:pPr>
        <w:spacing w:before="101" w:line="223" w:lineRule="auto"/>
        <w:ind w:left="3169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spacing w:val="4"/>
          <w:sz w:val="31"/>
          <w:szCs w:val="31"/>
          <w:lang w:val="en-US" w:eastAsia="zh-CN"/>
        </w:rPr>
        <w:t>江达县</w:t>
      </w:r>
      <w:r>
        <w:rPr>
          <w:rFonts w:ascii="楷体" w:hAnsi="楷体" w:eastAsia="楷体" w:cs="楷体"/>
          <w:spacing w:val="4"/>
          <w:sz w:val="31"/>
          <w:szCs w:val="31"/>
        </w:rPr>
        <w:t>人民政府</w:t>
      </w:r>
    </w:p>
    <w:p w14:paraId="5FCD99FF">
      <w:pPr>
        <w:spacing w:before="225" w:line="222" w:lineRule="auto"/>
        <w:ind w:left="3419"/>
        <w:rPr>
          <w:rFonts w:ascii="楷体" w:hAnsi="楷体" w:eastAsia="楷体" w:cs="楷体"/>
          <w:sz w:val="31"/>
          <w:szCs w:val="31"/>
        </w:rPr>
      </w:pPr>
      <w:r>
        <w:rPr>
          <w:rFonts w:ascii="Times New Roman" w:hAnsi="Times New Roman" w:eastAsia="Times New Roman" w:cs="Times New Roman"/>
          <w:spacing w:val="1"/>
          <w:sz w:val="31"/>
          <w:szCs w:val="31"/>
        </w:rPr>
        <w:t xml:space="preserve">2026 </w:t>
      </w:r>
      <w:r>
        <w:rPr>
          <w:rFonts w:ascii="楷体" w:hAnsi="楷体" w:eastAsia="楷体" w:cs="楷体"/>
          <w:spacing w:val="1"/>
          <w:sz w:val="31"/>
          <w:szCs w:val="31"/>
        </w:rPr>
        <w:t>年</w:t>
      </w:r>
      <w:r>
        <w:rPr>
          <w:rFonts w:ascii="楷体" w:hAnsi="楷体" w:eastAsia="楷体" w:cs="楷体"/>
          <w:spacing w:val="-5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31"/>
          <w:szCs w:val="31"/>
        </w:rPr>
        <w:t>5</w:t>
      </w:r>
      <w:r>
        <w:rPr>
          <w:rFonts w:ascii="Times New Roman" w:hAnsi="Times New Roman" w:eastAsia="Times New Roman" w:cs="Times New Roman"/>
          <w:spacing w:val="33"/>
          <w:sz w:val="31"/>
          <w:szCs w:val="31"/>
        </w:rPr>
        <w:t xml:space="preserve"> </w:t>
      </w:r>
      <w:r>
        <w:rPr>
          <w:rFonts w:ascii="楷体" w:hAnsi="楷体" w:eastAsia="楷体" w:cs="楷体"/>
          <w:spacing w:val="1"/>
          <w:sz w:val="31"/>
          <w:szCs w:val="31"/>
        </w:rPr>
        <w:t>月</w:t>
      </w:r>
    </w:p>
    <w:p w14:paraId="6011F2D4">
      <w:pPr>
        <w:spacing w:line="222" w:lineRule="auto"/>
        <w:rPr>
          <w:rFonts w:ascii="楷体" w:hAnsi="楷体" w:eastAsia="楷体" w:cs="楷体"/>
          <w:sz w:val="31"/>
          <w:szCs w:val="31"/>
        </w:rPr>
        <w:sectPr>
          <w:pgSz w:w="11906" w:h="16838"/>
          <w:pgMar w:top="1247" w:right="1785" w:bottom="1247" w:left="1785" w:header="0" w:footer="0" w:gutter="0"/>
          <w:cols w:space="720" w:num="1"/>
        </w:sectPr>
      </w:pPr>
    </w:p>
    <w:p w14:paraId="5F1C9391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</w:p>
    <w:p w14:paraId="4998E7F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本次动态维护工作基于《</w:t>
      </w:r>
      <w:r>
        <w:rPr>
          <w:rFonts w:hint="default" w:ascii="Times New Roman" w:hAnsi="Times New Roman" w:eastAsia="方正仿宋_GB2312" w:cs="Times New Roman"/>
          <w:sz w:val="32"/>
          <w:lang w:val="en-US" w:eastAsia="zh-CN"/>
        </w:rPr>
        <w:t>2024</w:t>
      </w: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年江达县国土空间规划城市体检评估》的相关结论与建议，严守空间安全底线，不突破总体规划确定的保护目标、空间结构与强制性内容。维护方案聚焦目标战略深化落实、功能格局持续稳定、空间要素精准保障，着力支撑“十五五”规划实施，优先化解项目落地空间矛盾，为江达县经济社会高质量发展提供坚实的国土空间规划支撑。</w:t>
      </w:r>
    </w:p>
    <w:p w14:paraId="509BDC3B">
      <w:pPr>
        <w:spacing w:before="147" w:line="360" w:lineRule="auto"/>
        <w:ind w:left="671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一、正向优化三条控制线</w:t>
      </w:r>
    </w:p>
    <w:p w14:paraId="7E2F3676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永久基本农田“优进劣出”。以优化农业生产力布局、促进适度规模经营为目标，衔接耕地保护和国土绿化空间专项规划，动态维护永久基本农田，维护后总面积</w:t>
      </w:r>
      <w:r>
        <w:rPr>
          <w:rFonts w:hint="eastAsia" w:ascii="Times New Roman" w:hAnsi="Times New Roman" w:eastAsia="方正仿宋_GB2312" w:cs="Times New Roman"/>
          <w:sz w:val="32"/>
          <w:lang w:val="en-US" w:eastAsia="zh-CN"/>
        </w:rPr>
        <w:t>54.39</w:t>
      </w: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平方千米，不低于永久基本农田保护任务，确保总量不减少、质量有提升、布局更合理、集中连片度有提高。</w:t>
      </w:r>
    </w:p>
    <w:p w14:paraId="3E2EAE3C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生态保护红线“整合优化”。以巩固生态保护格局、提升生态系统完整性为目标，动态维护生态保护红线，维护后总面积</w:t>
      </w:r>
      <w:r>
        <w:rPr>
          <w:rFonts w:hint="eastAsia" w:ascii="Times New Roman" w:hAnsi="Times New Roman" w:eastAsia="方正仿宋_GB2312" w:cs="Times New Roman"/>
          <w:sz w:val="32"/>
          <w:lang w:val="en-US" w:eastAsia="zh-CN"/>
        </w:rPr>
        <w:t>2663.14平方千米</w:t>
      </w: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（本次方案不涉及调整），确保生态保护红线面积不减少、功能不降低。</w:t>
      </w:r>
    </w:p>
    <w:p w14:paraId="45DCA73A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城镇开发边界“集聚增效”。以优化城镇发展格局、增强城镇发展动能为目标，在严守城镇开发边界扩展倍数的前提下，重点围绕“十五五”项目落地，以及公共服务设施及基础设施一体化，动态维护城镇开发边界，维护后扩展倍数保持</w:t>
      </w:r>
      <w:r>
        <w:rPr>
          <w:rFonts w:hint="default" w:ascii="Times New Roman" w:hAnsi="Times New Roman" w:eastAsia="方正仿宋_GB2312" w:cs="Times New Roman"/>
          <w:sz w:val="32"/>
          <w:lang w:val="en-US" w:eastAsia="zh-CN"/>
        </w:rPr>
        <w:t>1.53</w:t>
      </w: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不变。</w:t>
      </w:r>
    </w:p>
    <w:p w14:paraId="1263E871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二、合理优化规划分区</w:t>
      </w:r>
    </w:p>
    <w:p w14:paraId="3A354A4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依据永久基本农田、生态保护红线、城镇开发边界的动态维护优化成果，以空间战略格局优化为导向，对农田保护区、生态保护区、城镇发展区进行优化调整，并同步联动优化乡村发展区等布局，确保各分区主导功能稳定、空间布局集中连片、整体格局完整联通。</w:t>
      </w:r>
    </w:p>
    <w:p w14:paraId="5D5E11CA">
      <w:pPr>
        <w:spacing w:before="3" w:line="360" w:lineRule="auto"/>
        <w:ind w:left="735"/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三、完善中心城区功能体系</w:t>
      </w:r>
    </w:p>
    <w:p w14:paraId="277D1D6E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优化中心城区土地使用和功能布局，完善城市功能和优化空间结构。统筹各级生活圈建设，完善教育、医疗、养老等公共服务设施布局，完善蓝绿开敞空间系统，促进存量用地集约集聚，引导要素合理配置。</w:t>
      </w:r>
    </w:p>
    <w:p w14:paraId="76DD2099">
      <w:pPr>
        <w:spacing w:before="3" w:line="360" w:lineRule="auto"/>
        <w:ind w:left="689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4"/>
          <w:position w:val="1"/>
          <w:sz w:val="31"/>
          <w:szCs w:val="31"/>
        </w:rPr>
        <w:t>四、优化其他重要控制线</w:t>
      </w:r>
    </w:p>
    <w:p w14:paraId="0A5E4455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>在不改变国土空间总体规划确定的城市总体格局和空间结构前提下，按照确实有助于总体规划实施的原则，对中心城区城市绿线、蓝线、紫线、黄线等控制线规模和布局进行优化，相应调整完善控制线内部规划绿地、公共管理与公共服务、公用设施等用地规模和布局。</w:t>
      </w:r>
    </w:p>
    <w:p w14:paraId="35CA4C73">
      <w:pPr>
        <w:spacing w:before="3" w:line="360" w:lineRule="auto"/>
        <w:ind w:left="657"/>
        <w:rPr>
          <w:rFonts w:hint="eastAsia" w:ascii="方正仿宋_GB2312" w:hAnsi="方正仿宋_GB2312" w:eastAsia="方正仿宋_GB2312" w:cs="方正仿宋_GB2312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五、更新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  <w:lang w:val="en-US" w:eastAsia="zh-CN"/>
        </w:rPr>
        <w:t>年度</w:t>
      </w:r>
      <w:r>
        <w:rPr>
          <w:rFonts w:hint="eastAsia" w:ascii="方正仿宋_GB2312" w:hAnsi="方正仿宋_GB2312" w:eastAsia="方正仿宋_GB2312" w:cs="方正仿宋_GB2312"/>
          <w:b/>
          <w:bCs/>
          <w:spacing w:val="5"/>
          <w:position w:val="1"/>
          <w:sz w:val="31"/>
          <w:szCs w:val="31"/>
        </w:rPr>
        <w:t>重点建设项目清单</w:t>
      </w:r>
    </w:p>
    <w:p w14:paraId="415BC7B0">
      <w:pPr>
        <w:spacing w:line="360" w:lineRule="auto"/>
        <w:ind w:firstLine="640"/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lang w:val="en-US" w:eastAsia="zh-CN"/>
        </w:rPr>
        <w:t xml:space="preserve">以“十五五”重大建设项目清单为基础，衔接各类专项规划，精准梳理基础扎实、实施条件成熟、实施诉求强烈的重点项目，全面开展能源、交通、电力、水利等重点领域项目增补与校核更新，强化项目空间保障，推动规划落地实施。  </w:t>
      </w:r>
    </w:p>
    <w:p w14:paraId="4D60ABF6">
      <w:pP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</w:pPr>
      <w:r>
        <w:rPr>
          <w:rFonts w:ascii="微软雅黑" w:hAnsi="微软雅黑" w:eastAsia="微软雅黑" w:cs="微软雅黑"/>
          <w:spacing w:val="-1"/>
          <w:position w:val="-2"/>
          <w:sz w:val="40"/>
          <w:szCs w:val="40"/>
        </w:rPr>
        <w:br w:type="page"/>
      </w:r>
    </w:p>
    <w:p w14:paraId="48A7FE8D">
      <w:pPr>
        <w:spacing w:before="223" w:line="240" w:lineRule="auto"/>
        <w:ind w:left="231"/>
        <w:jc w:val="left"/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pacing w:val="-2"/>
          <w:sz w:val="40"/>
          <w:szCs w:val="40"/>
          <w:lang w:val="en-US" w:eastAsia="zh-CN"/>
        </w:rPr>
        <w:t>附件：</w:t>
      </w:r>
    </w:p>
    <w:p w14:paraId="08867146">
      <w:pPr>
        <w:spacing w:before="101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4"/>
          <w:sz w:val="31"/>
          <w:szCs w:val="31"/>
        </w:rPr>
        <w:t>图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-32"/>
          <w:sz w:val="31"/>
          <w:szCs w:val="31"/>
          <w:lang w:eastAsia="zh-CN"/>
        </w:rPr>
        <w:t>1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4"/>
          <w:sz w:val="31"/>
          <w:szCs w:val="31"/>
        </w:rPr>
        <w:t>三条控制线维护前图</w:t>
      </w:r>
    </w:p>
    <w:p w14:paraId="6998E121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图</w:t>
      </w:r>
      <w:r>
        <w:rPr>
          <w:rFonts w:ascii="仿宋" w:hAnsi="仿宋" w:eastAsia="仿宋" w:cs="仿宋"/>
          <w:spacing w:val="-57"/>
          <w:sz w:val="31"/>
          <w:szCs w:val="31"/>
        </w:rPr>
        <w:t xml:space="preserve"> </w:t>
      </w:r>
      <w:r>
        <w:rPr>
          <w:rFonts w:hint="eastAsia" w:ascii="仿宋" w:hAnsi="仿宋" w:eastAsia="仿宋" w:cs="仿宋"/>
          <w:spacing w:val="-57"/>
          <w:sz w:val="31"/>
          <w:szCs w:val="31"/>
          <w:lang w:val="en-US" w:eastAsia="zh-CN"/>
        </w:rPr>
        <w:t>2</w:t>
      </w:r>
      <w:r>
        <w:rPr>
          <w:rFonts w:ascii="Times New Roman" w:hAnsi="Times New Roman" w:eastAsia="Times New Roman" w:cs="Times New Roman"/>
          <w:spacing w:val="20"/>
          <w:sz w:val="31"/>
          <w:szCs w:val="31"/>
        </w:rPr>
        <w:t xml:space="preserve">  </w:t>
      </w:r>
      <w:r>
        <w:rPr>
          <w:rFonts w:ascii="仿宋" w:hAnsi="仿宋" w:eastAsia="仿宋" w:cs="仿宋"/>
          <w:sz w:val="31"/>
          <w:szCs w:val="31"/>
        </w:rPr>
        <w:t>三条</w:t>
      </w:r>
      <w:r>
        <w:rPr>
          <w:rFonts w:ascii="仿宋" w:hAnsi="仿宋" w:eastAsia="仿宋" w:cs="仿宋"/>
          <w:spacing w:val="4"/>
          <w:sz w:val="31"/>
          <w:szCs w:val="31"/>
        </w:rPr>
        <w:t>控制线维护</w:t>
      </w:r>
      <w:r>
        <w:rPr>
          <w:rFonts w:hint="eastAsia" w:ascii="仿宋" w:hAnsi="仿宋" w:eastAsia="仿宋" w:cs="仿宋"/>
          <w:spacing w:val="4"/>
          <w:sz w:val="31"/>
          <w:szCs w:val="31"/>
          <w:lang w:val="en-US" w:eastAsia="zh-CN"/>
        </w:rPr>
        <w:t>后</w:t>
      </w:r>
      <w:r>
        <w:rPr>
          <w:rFonts w:ascii="仿宋" w:hAnsi="仿宋" w:eastAsia="仿宋" w:cs="仿宋"/>
          <w:spacing w:val="4"/>
          <w:sz w:val="31"/>
          <w:szCs w:val="31"/>
        </w:rPr>
        <w:t>图</w:t>
      </w:r>
    </w:p>
    <w:p w14:paraId="7A247635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68CC8CD0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7BD48C5D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5E87EC6D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732CF90E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2D55A89C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577EB943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5C689E4D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662001D4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05437F10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1F6A4E6F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6BC2F728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5E430F06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0F376D22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0D254DB0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3ED38E55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12B86D74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62623A7A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605F521A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3ECA13EC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</w:pPr>
    </w:p>
    <w:p w14:paraId="4C78A3B2">
      <w:pPr>
        <w:spacing w:before="251" w:line="222" w:lineRule="auto"/>
        <w:ind w:left="491"/>
        <w:rPr>
          <w:rFonts w:ascii="仿宋" w:hAnsi="仿宋" w:eastAsia="仿宋" w:cs="仿宋"/>
          <w:sz w:val="31"/>
          <w:szCs w:val="31"/>
        </w:rPr>
        <w:sectPr>
          <w:footerReference r:id="rId5" w:type="default"/>
          <w:pgSz w:w="11906" w:h="16838"/>
          <w:pgMar w:top="1424" w:right="1785" w:bottom="1151" w:left="1785" w:header="0" w:footer="968" w:gutter="0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-9895205</wp:posOffset>
            </wp:positionV>
            <wp:extent cx="7545070" cy="10671810"/>
            <wp:effectExtent l="0" t="0" r="11430" b="8890"/>
            <wp:wrapSquare wrapText="bothSides"/>
            <wp:docPr id="1" name="图片 1" descr="F:/1-昌都市动态调整/03-过程文件/01-江达县/图纸/1-三条控制线-前.jpg1-三条控制线-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/1-昌都市动态调整/03-过程文件/01-江达县/图纸/1-三条控制线-前.jpg1-三条控制线-前"/>
                    <pic:cNvPicPr>
                      <a:picLocks noChangeAspect="1"/>
                    </pic:cNvPicPr>
                  </pic:nvPicPr>
                  <pic:blipFill>
                    <a:blip r:embed="rId9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74416">
      <w:pPr>
        <w:spacing w:line="22388" w:lineRule="exac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7545070" cy="10671810"/>
            <wp:effectExtent l="0" t="0" r="11430" b="8890"/>
            <wp:wrapSquare wrapText="bothSides"/>
            <wp:docPr id="5" name="图片 5" descr="F:/1-昌都市动态调整/03-过程文件/01-江达县/图纸/2-三条控制线-后.jpg2-三条控制线-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1-昌都市动态调整/03-过程文件/01-江达县/图纸/2-三条控制线-后.jpg2-三条控制线-后"/>
                    <pic:cNvPicPr>
                      <a:picLocks noChangeAspect="1"/>
                    </pic:cNvPicPr>
                  </pic:nvPicPr>
                  <pic:blipFill>
                    <a:blip r:embed="rId10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6" w:type="default"/>
      <w:footerReference r:id="rId7" w:type="default"/>
      <w:pgSz w:w="11906" w:h="16838"/>
      <w:pgMar w:top="1" w:right="6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98E240BC-794E-4FFC-8846-EDECD3ABB96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55C59E52-2148-41DC-B76C-D7BF5E40018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FA1FE6D-41E4-4776-A54B-ACFFD9375BF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332B2148-FCFC-4152-875B-C6749E68F4F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E52A7FF-A651-4493-A514-A0702B9506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01FE5E">
    <w:pPr>
      <w:spacing w:line="181" w:lineRule="auto"/>
      <w:ind w:left="4118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55ADFD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34511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C63276"/>
    <w:rsid w:val="023C4E17"/>
    <w:rsid w:val="0F2E5C77"/>
    <w:rsid w:val="10B17BAC"/>
    <w:rsid w:val="19CC03D7"/>
    <w:rsid w:val="1A5F124B"/>
    <w:rsid w:val="1ACE730B"/>
    <w:rsid w:val="1E3D18A3"/>
    <w:rsid w:val="24417C14"/>
    <w:rsid w:val="24482D50"/>
    <w:rsid w:val="265D5803"/>
    <w:rsid w:val="31300F41"/>
    <w:rsid w:val="317D58D9"/>
    <w:rsid w:val="345E6795"/>
    <w:rsid w:val="35BD6663"/>
    <w:rsid w:val="35D22BF5"/>
    <w:rsid w:val="36652E81"/>
    <w:rsid w:val="374675C3"/>
    <w:rsid w:val="3C182829"/>
    <w:rsid w:val="3E8264E0"/>
    <w:rsid w:val="3F347524"/>
    <w:rsid w:val="408D50B0"/>
    <w:rsid w:val="42B06238"/>
    <w:rsid w:val="4A7A403C"/>
    <w:rsid w:val="4B693428"/>
    <w:rsid w:val="4EDA3A70"/>
    <w:rsid w:val="4F0E056F"/>
    <w:rsid w:val="54996B2C"/>
    <w:rsid w:val="659265CD"/>
    <w:rsid w:val="68F95994"/>
    <w:rsid w:val="6D913F63"/>
    <w:rsid w:val="6E001573"/>
    <w:rsid w:val="6EFA2466"/>
    <w:rsid w:val="71107D1F"/>
    <w:rsid w:val="727D5B64"/>
    <w:rsid w:val="7521074C"/>
    <w:rsid w:val="77827BFD"/>
    <w:rsid w:val="79254583"/>
    <w:rsid w:val="79C8563A"/>
    <w:rsid w:val="7B4E1B6F"/>
    <w:rsid w:val="7D5471E5"/>
    <w:rsid w:val="7D823D52"/>
    <w:rsid w:val="7EE06F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1877daa5-b486-4467-9317-b60409df1060</errorID>
      <errorWord>l</errorWord>
      <group>L1_Word</group>
      <groupName>字词问题</groupName>
      <ability>L2_Typo</ability>
      <abilityName>字词错误</abilityName>
      <candidateList>
        <item>1</item>
      </candidateList>
      <explain/>
      <paraID> 8867146</paraID>
      <start>2</start>
      <end>3</end>
      <status>modified</status>
      <modifiedWord>1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32feaa6-02e7-4c07-a842-c9fdf4df00a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1420</Words>
  <Characters>1492</Characters>
  <TotalTime>51</TotalTime>
  <ScaleCrop>false</ScaleCrop>
  <LinksUpToDate>false</LinksUpToDate>
  <CharactersWithSpaces>1583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2026-05-07T17:16:00Z</dcterms:created>
  <dc:creator>纸鹤</dc:creator>
  <cp:lastModifiedBy>-梦故里</cp:lastModifiedBy>
  <cp:lastPrinted>2026-05-26T09:29:00Z</cp:lastPrinted>
  <dcterms:modified xsi:type="dcterms:W3CDTF">2026-05-27T11:04:54Z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2026-05-16T21:30:19Z</vt:filetime>
  </property>
  <property fmtid="{D5CDD505-2E9C-101B-9397-08002B2CF9AE}" pid="4" name="KSOTemplateDocerSaveRecord">
    <vt:lpwstr>eyJoZGlkIjoiYWJmNTAxYTA0NTllZTU0OWY5NWY0MWNlMzBjNGU2OTYiLCJ1c2VySWQiOiIzNDgwOTc0NzYifQ==</vt:lpwstr>
  </property>
  <property fmtid="{D5CDD505-2E9C-101B-9397-08002B2CF9AE}" pid="5" name="KSOProductBuildVer">
    <vt:lpwstr>2052-12.1.0.20305</vt:lpwstr>
  </property>
  <property fmtid="{D5CDD505-2E9C-101B-9397-08002B2CF9AE}" pid="6" name="ICV">
    <vt:lpwstr>70D28BE035094C13B36A05A9BC50CA33_13</vt:lpwstr>
  </property>
</Properties>
</file>