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A2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洛隆县经济信息和商务局2024年法治政府建设情况报告</w:t>
      </w:r>
    </w:p>
    <w:p w14:paraId="21B0A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_GB2312" w:hAnsi="仿宋_GB2312" w:eastAsia="仿宋_GB2312" w:cs="仿宋_GB2312"/>
          <w:color w:val="000000" w:themeColor="text1"/>
          <w:sz w:val="16"/>
          <w:szCs w:val="16"/>
          <w:lang w:val="en-US" w:eastAsia="zh-CN"/>
          <w14:textFill>
            <w14:solidFill>
              <w14:schemeClr w14:val="tx1"/>
            </w14:solidFill>
          </w14:textFill>
        </w:rPr>
      </w:pPr>
    </w:p>
    <w:p w14:paraId="41CBD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县司法局：</w:t>
      </w:r>
    </w:p>
    <w:p w14:paraId="45F9A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为深入贯彻习近平法治思想，全面、切实、深入地发挥法治的引领、规范、保障作用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根据《关于进一步规范法治政府建设情况报告报送和公开事宜的通知》要求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县经济信息和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商务局切实履行法定职责，有序推动法治工作，现就相关情况报告如下。</w:t>
      </w:r>
    </w:p>
    <w:p w14:paraId="16655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上一年度主要举措和成效</w:t>
      </w:r>
    </w:p>
    <w:p w14:paraId="63055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（一）深化普法成效，营造全民学法守法氛围</w:t>
      </w:r>
    </w:p>
    <w:p w14:paraId="7A25A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认真贯彻落实习近平总书记关于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西藏工作的重要指示和新时代党的治藏方略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，党中央关于全面依法治国的重大决策部署和有关党内法规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区党委、政府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、市委市政府、县委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关于全面依法治藏、法治政府建设的部署安排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紧扣社会和谐稳定、安全环保等主题，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除日常单位理论学习外，还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开展“进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村居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“进企业”等主题党日活动，结合行业特点，面向服务对象和社会公众开展各具特色的普法宣传教育，引导商贸流通企业主体合法经营，不仅提升了商贸流通企业的法治意识，也为社会公众提供了丰富的法治教育资源，共同营造了尊法学法守法用法的良好社会风尚。</w:t>
      </w:r>
    </w:p>
    <w:p w14:paraId="6A3AF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（二）法治化营商环境持续优化</w:t>
      </w:r>
    </w:p>
    <w:p w14:paraId="108DB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我局进一步压实主体责任，确保招商引资工作落到实处，建立健全优化营商环境工作体制机制，降低市场准入门槛，加大外出招商引资力度，持续净化我县招商引资环境，促进营商环境持续推进。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充分发挥福建泉州对口支援洛隆的特殊优势，借助援藏渠道，外出开展招商推介活动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次，重点推介洛隆民俗商业街、德曲河综合开发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项目和硕督古镇景区运营管理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2024年，通过招商引资纳入项目9个，到位资金2.15亿元，已超额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2亿元招商引资目标任务。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扩大招商引资宣传面。协商移动通信公司，依托马利镇布宿沟和中亦乡八里通信基站，通过手机短信宣传等方式，推送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优势产业、特色产品和招商政策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，进一步扩大宣传覆盖面。截至目前，接到有意愿前来洛隆投资置业的客商来电来访咨询80余人次。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多举措实施提振消费行动。积极宣传“嘉惠多多”促销报名活动10余次，累计17家符合条件的商户参与优惠促销活动。截至目前，拉动消费100余万元。精心策划举办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“舌尖上的洛隆”美食大赛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举办夜市和“2024年洛隆丰收季 促销增收行”等促销增收活动，进一步拉动消费，激发洛隆社会经济活力。2024年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累计100余家商户参与夜市等经营活动，营业额共计100余万元。我县社会消费品零售总额达到47004万元，同比增长8.1%，排在全市第一。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落实惠企政策。主动面向辖区各类经营主体宣传政策等30余次，共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筛查县域内181家企业（个体工商户）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纳入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限额以上商贸流通企业培育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为2023年度限上纳统餐饮企业（木子阁餐厅）发放一次性扶持资金6万元，并为达到限额以上的卓阅酒店和国森商贸争取一次性扶持资金各8万元，已审核完毕，待下达资金。帮助洛宗公司、铁塔公司申请电费补贴政策。同时，对接重庆华生园盾赫抖音直播带货基地、市乡村振兴展销馆、市商务局展厅以及拉萨农特产品展销大卖场，帮助拓展企业农特产品销售渠道。深入企业开展西藏自治区中小企业梯度培育等相关惠企政策宣传12次。</w:t>
      </w:r>
    </w:p>
    <w:p w14:paraId="78522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二、党政主要负责人履职情况</w:t>
      </w:r>
    </w:p>
    <w:p w14:paraId="49041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（一）加强组织领导，确保法治建设有序推进</w:t>
      </w:r>
    </w:p>
    <w:p w14:paraId="3D236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党政主要负责人始终将法治建设摆在全局工作的核心位置，加强组织领导，建立健全工作机制，同时严格党组议事规则和决策程序，领导班子按照要求议事决策，定期召开党组会、班子会、工作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会等会议，坚决执行“三重一大”事项集体决策制度，重大行政决策集体讨论决定，确保法治建设有序推进。</w:t>
      </w:r>
    </w:p>
    <w:p w14:paraId="11D0C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（二）强化学习成效，提高商务队伍法治素养</w:t>
      </w:r>
      <w:bookmarkStart w:id="0" w:name="_GoBack"/>
      <w:bookmarkEnd w:id="0"/>
    </w:p>
    <w:p w14:paraId="3A486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法用法紧密结合，注重党纪学习教育，增强党员干部的“四个意识”、坚定“四个自信”、做到“两个维护”。定期开展党组理论学习中心组专题学习扩大会议，党组书记上专题党课，确保每一位党员干部都能深刻理解法治精神，将法治理念内化于心、外化于行。同时按照普法工作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县经济信息和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商务局全体在职在编人员积极主动学习不同板块知识，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积极参加各项线上法治考试。此外，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我局积极推进商务领域的法治实践，加强对外贸易、商贸流通等领域的监管和服务。</w:t>
      </w:r>
    </w:p>
    <w:p w14:paraId="2ACA3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、存在的不足</w:t>
      </w:r>
    </w:p>
    <w:p w14:paraId="2A7FA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尽管我局在法治政府建设方面取得了一定成效，但仍存在一些问题和不足，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主要表现在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部分人员对法律法规的学习不够，法律意识走脑入心不够深入，在相关法治制度的理解程度上、在工作计划的部署落实上、在推进工作的开拓创新上，仍需要加大学习和研究力度。</w:t>
      </w:r>
    </w:p>
    <w:p w14:paraId="7D38F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、下一步工作计划</w:t>
      </w:r>
    </w:p>
    <w:p w14:paraId="0CECA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以习近平新时代中国特色社会主义思想为指导，继续加强法治政府建设工作；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提高政治站位，依法依规履行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经信、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商务职能；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持续深化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经信、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商务法治宣传教育，创新工作方式推动形成“办事依法、遇事找法、解决问题用法、化解矛盾靠法”的良好氛围，为我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县经济信息和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商务工作高质量发展提供有力的法治保障。</w:t>
      </w:r>
    </w:p>
    <w:p w14:paraId="33844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五、其他需要报告的情况</w:t>
      </w:r>
    </w:p>
    <w:p w14:paraId="02EEF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无。</w:t>
      </w:r>
    </w:p>
    <w:p w14:paraId="299A6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0212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821F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洛隆县经济信息和商务局</w:t>
      </w:r>
    </w:p>
    <w:p w14:paraId="25991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2025年2月13日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9D2F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60420F">
                          <w:pPr>
                            <w:pStyle w:val="3"/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60420F">
                    <w:pPr>
                      <w:pStyle w:val="3"/>
                      <w:rPr>
                        <w:rFonts w:hint="eastAsia" w:ascii="黑体" w:hAnsi="黑体" w:eastAsia="黑体" w:cs="黑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黑体" w:hAnsi="黑体" w:eastAsia="黑体" w:cs="黑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D3B6F"/>
    <w:rsid w:val="00515041"/>
    <w:rsid w:val="01BF2BCF"/>
    <w:rsid w:val="16C77E10"/>
    <w:rsid w:val="475B0FED"/>
    <w:rsid w:val="4AD116E8"/>
    <w:rsid w:val="56DD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40" w:lineRule="exact"/>
      <w:ind w:firstLine="0" w:firstLineChars="0"/>
      <w:outlineLvl w:val="0"/>
    </w:pPr>
    <w:rPr>
      <w:rFonts w:ascii="Times New Roman" w:hAnsi="Times New Roman" w:eastAsia="方正小标宋_GBK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TOC 标题1"/>
    <w:basedOn w:val="2"/>
    <w:next w:val="1"/>
    <w:autoRedefine/>
    <w:qFormat/>
    <w:uiPriority w:val="39"/>
    <w:pPr>
      <w:tabs>
        <w:tab w:val="left" w:pos="1440"/>
        <w:tab w:val="left" w:pos="5670"/>
      </w:tabs>
      <w:spacing w:before="480" w:line="276" w:lineRule="auto"/>
      <w:outlineLvl w:val="9"/>
    </w:pPr>
    <w:rPr>
      <w:rFonts w:ascii="仿宋" w:hAnsi="仿宋" w:eastAsia="仿宋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1791</Words>
  <Characters>1828</Characters>
  <Lines>0</Lines>
  <Paragraphs>0</Paragraphs>
  <TotalTime>3</TotalTime>
  <ScaleCrop>false</ScaleCrop>
  <LinksUpToDate>false</LinksUpToDate>
  <CharactersWithSpaces>1829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2025-02-11T01:56:00Z</dcterms:created>
  <dc:creator>hunter</dc:creator>
  <cp:lastModifiedBy>hunter</cp:lastModifiedBy>
  <dcterms:modified xsi:type="dcterms:W3CDTF">2025-02-13T07:57:16Z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C47973C8E332448BA3D770847C3019C9_11</vt:lpwstr>
  </property>
  <property fmtid="{D5CDD505-2E9C-101B-9397-08002B2CF9AE}" pid="4" name="KSOTemplateDocerSaveRecord">
    <vt:lpwstr>eyJoZGlkIjoiNjI3MjEzMzQyMGM5NGY2MzY1OWNiNDQzYzc0NTZkMzgiLCJ1c2VySWQiOiIyNzQ4ODUxMjcifQ==</vt:lpwstr>
  </property>
</Properties>
</file>