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331343">
      <w:pPr>
        <w:spacing w:before="223" w:line="240" w:lineRule="auto"/>
        <w:jc w:val="center"/>
        <w:rPr>
          <w:rFonts w:hint="eastAsia" w:ascii="方正小标宋_GBK" w:hAnsi="方正小标宋_GBK" w:eastAsia="方正小标宋_GBK" w:cs="方正小标宋_GBK"/>
          <w:spacing w:val="-2"/>
          <w:sz w:val="40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pacing w:val="-2"/>
          <w:sz w:val="40"/>
          <w:szCs w:val="40"/>
          <w:lang w:val="en-US" w:eastAsia="zh-CN"/>
        </w:rPr>
        <w:t>洛隆县自然资源局关于《洛隆县国土空间总体规划动态维护方案（2026 年度）》的公示</w:t>
      </w:r>
    </w:p>
    <w:p w14:paraId="25DCD218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</w:p>
    <w:p w14:paraId="2C87412F">
      <w:pPr>
        <w:pStyle w:val="2"/>
        <w:spacing w:line="260" w:lineRule="auto"/>
        <w:ind w:firstLine="640" w:firstLineChars="200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为贯彻党的二十届四中全会精神，按照国家、西藏自治区关于国土空间总体规划动态维护工作的统一安排部署，洛隆县人民政府组织编制了《洛隆县国土空间总体规划动态维护方案（2026 年度）》（以下简称《方案》）。</w:t>
      </w:r>
    </w:p>
    <w:p w14:paraId="1EEEC4C0">
      <w:pPr>
        <w:pStyle w:val="2"/>
        <w:spacing w:line="260" w:lineRule="auto"/>
        <w:ind w:firstLine="640" w:firstLineChars="200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为进一步提高《方案》的科学性、合理性和可实施性，现就《方案》予以公示，面向社会公开征求意见，欢迎有关单位和社会各界人士提出宝贵意见和建议。</w:t>
      </w:r>
    </w:p>
    <w:p w14:paraId="05B8E585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一、公示时间</w:t>
      </w:r>
    </w:p>
    <w:p w14:paraId="3227C8BA">
      <w:pPr>
        <w:pStyle w:val="2"/>
        <w:spacing w:line="260" w:lineRule="auto"/>
        <w:ind w:firstLine="640" w:firstLineChars="200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2026年6月2日至2026年6月9日</w:t>
      </w:r>
    </w:p>
    <w:p w14:paraId="0393886B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二、反馈方式</w:t>
      </w:r>
    </w:p>
    <w:p w14:paraId="0B7D2741">
      <w:pPr>
        <w:pStyle w:val="2"/>
        <w:spacing w:line="260" w:lineRule="auto"/>
        <w:ind w:firstLine="640" w:firstLineChars="200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个人以书面或电子邮件形式反馈，注明联系人、联系方式；单位须以书面形式反馈并加盖单位公章。请在邮件名称上注明“洛隆县国土空间总体规划动态维护方案（2026 年度）（公示稿）公示意见建议”字样。</w:t>
      </w:r>
    </w:p>
    <w:p w14:paraId="1A5FF70D">
      <w:pPr>
        <w:pStyle w:val="2"/>
        <w:spacing w:line="260" w:lineRule="auto"/>
        <w:ind w:firstLine="640" w:firstLineChars="200"/>
        <w:rPr>
          <w:rFonts w:hint="default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三、联系电话：0895-4572891</w:t>
      </w:r>
    </w:p>
    <w:p w14:paraId="37B21CFD">
      <w:pPr>
        <w:pStyle w:val="2"/>
        <w:spacing w:line="260" w:lineRule="auto"/>
        <w:ind w:firstLine="640" w:firstLineChars="200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四、联系地址：西藏自治区昌都市洛隆县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21"/>
          <w:lang w:val="en-US" w:eastAsia="zh-CN" w:bidi="ar-SA"/>
        </w:rPr>
        <w:t>阿托卡民生路三楼</w:t>
      </w: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‌‌‌</w:t>
      </w:r>
    </w:p>
    <w:p w14:paraId="36C8070E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</w:p>
    <w:p w14:paraId="57B0D75D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附件：洛隆县国土空间总体规划动态维护方案（2026 年度）（公示稿）</w:t>
      </w:r>
    </w:p>
    <w:p w14:paraId="0823421A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</w:p>
    <w:p w14:paraId="06D3FEEF">
      <w:pPr>
        <w:pStyle w:val="2"/>
        <w:spacing w:line="260" w:lineRule="auto"/>
        <w:jc w:val="right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洛隆县自然资源局</w:t>
      </w:r>
    </w:p>
    <w:p w14:paraId="62BD8783">
      <w:pPr>
        <w:pStyle w:val="2"/>
        <w:spacing w:line="260" w:lineRule="auto"/>
        <w:jc w:val="right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2026年6月2日</w:t>
      </w:r>
    </w:p>
    <w:p w14:paraId="0EA09784">
      <w:pPr>
        <w:pStyle w:val="2"/>
        <w:spacing w:line="260" w:lineRule="auto"/>
      </w:pPr>
    </w:p>
    <w:p w14:paraId="2B9F3148">
      <w:pPr>
        <w:pStyle w:val="2"/>
        <w:spacing w:line="260" w:lineRule="auto"/>
      </w:pPr>
    </w:p>
    <w:p w14:paraId="7BBE5492">
      <w:pPr>
        <w:pStyle w:val="2"/>
        <w:spacing w:line="260" w:lineRule="auto"/>
      </w:pPr>
    </w:p>
    <w:p w14:paraId="6689496B">
      <w:pPr>
        <w:pStyle w:val="2"/>
        <w:spacing w:line="260" w:lineRule="auto"/>
      </w:pPr>
    </w:p>
    <w:p w14:paraId="711B0CB2">
      <w:pPr>
        <w:pStyle w:val="2"/>
        <w:spacing w:line="260" w:lineRule="auto"/>
      </w:pPr>
    </w:p>
    <w:p w14:paraId="039FA2B9">
      <w:pPr>
        <w:pStyle w:val="2"/>
        <w:spacing w:line="260" w:lineRule="auto"/>
      </w:pPr>
      <w:bookmarkStart w:id="0" w:name="_GoBack"/>
      <w:bookmarkEnd w:id="0"/>
    </w:p>
    <w:p w14:paraId="0C3D9FD0">
      <w:pPr>
        <w:spacing w:before="223" w:line="240" w:lineRule="auto"/>
        <w:ind w:left="231"/>
        <w:jc w:val="center"/>
        <w:rPr>
          <w:rFonts w:hint="eastAsia" w:ascii="方正小标宋_GBK" w:hAnsi="方正小标宋_GBK" w:eastAsia="方正小标宋_GBK" w:cs="方正小标宋_GBK"/>
          <w:spacing w:val="-2"/>
          <w:sz w:val="52"/>
          <w:szCs w:val="52"/>
          <w:lang w:eastAsia="zh-CN"/>
        </w:rPr>
      </w:pPr>
    </w:p>
    <w:p w14:paraId="2EB1E97C">
      <w:pPr>
        <w:spacing w:before="223" w:line="240" w:lineRule="auto"/>
        <w:ind w:left="231"/>
        <w:jc w:val="center"/>
        <w:rPr>
          <w:rFonts w:hint="eastAsia" w:ascii="方正小标宋_GBK" w:hAnsi="方正小标宋_GBK" w:eastAsia="方正小标宋_GBK" w:cs="方正小标宋_GBK"/>
          <w:spacing w:val="-2"/>
          <w:sz w:val="52"/>
          <w:szCs w:val="52"/>
          <w:lang w:eastAsia="zh-CN"/>
        </w:rPr>
      </w:pPr>
    </w:p>
    <w:p w14:paraId="31C0E710">
      <w:pPr>
        <w:spacing w:before="223" w:line="240" w:lineRule="auto"/>
        <w:ind w:left="231"/>
        <w:jc w:val="center"/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  <w:lang w:eastAsia="zh-CN"/>
        </w:rPr>
        <w:t>洛隆县</w:t>
      </w:r>
      <w:r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</w:rPr>
        <w:t>国土空间总体规划动态维护方案</w:t>
      </w:r>
    </w:p>
    <w:p w14:paraId="57033122">
      <w:pPr>
        <w:spacing w:before="223" w:line="240" w:lineRule="auto"/>
        <w:ind w:left="231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  <w:lang w:eastAsia="zh-CN"/>
        </w:rPr>
        <w:t>（</w:t>
      </w:r>
      <w:r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</w:rPr>
        <w:t>2026 年度</w:t>
      </w:r>
      <w:r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  <w:lang w:eastAsia="zh-CN"/>
        </w:rPr>
        <w:t>）</w:t>
      </w:r>
    </w:p>
    <w:p w14:paraId="5FF76403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76C12A36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05266156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53357CFB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28CB1D67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45D081B7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1BDF66CF">
      <w:pPr>
        <w:spacing w:before="13" w:line="227" w:lineRule="auto"/>
        <w:ind w:left="3357"/>
        <w:rPr>
          <w:rFonts w:ascii="楷体" w:hAnsi="楷体" w:eastAsia="楷体" w:cs="楷体"/>
          <w:sz w:val="35"/>
          <w:szCs w:val="35"/>
        </w:rPr>
      </w:pPr>
      <w:r>
        <w:rPr>
          <w:rFonts w:ascii="楷体" w:hAnsi="楷体" w:eastAsia="楷体" w:cs="楷体"/>
          <w:spacing w:val="18"/>
          <w:sz w:val="35"/>
          <w:szCs w:val="35"/>
        </w:rPr>
        <w:t>（公示稿）</w:t>
      </w:r>
    </w:p>
    <w:p w14:paraId="2CBFA08D">
      <w:pPr>
        <w:pStyle w:val="2"/>
        <w:spacing w:line="246" w:lineRule="auto"/>
      </w:pPr>
    </w:p>
    <w:p w14:paraId="13A8D4AF">
      <w:pPr>
        <w:pStyle w:val="2"/>
        <w:spacing w:line="246" w:lineRule="auto"/>
      </w:pPr>
    </w:p>
    <w:p w14:paraId="477A64B1">
      <w:pPr>
        <w:pStyle w:val="2"/>
        <w:spacing w:line="246" w:lineRule="auto"/>
      </w:pPr>
    </w:p>
    <w:p w14:paraId="7B38691C">
      <w:pPr>
        <w:pStyle w:val="2"/>
        <w:spacing w:line="246" w:lineRule="auto"/>
      </w:pPr>
    </w:p>
    <w:p w14:paraId="194CAE77">
      <w:pPr>
        <w:pStyle w:val="2"/>
        <w:spacing w:line="246" w:lineRule="auto"/>
      </w:pPr>
    </w:p>
    <w:p w14:paraId="32E844F0">
      <w:pPr>
        <w:pStyle w:val="2"/>
        <w:spacing w:line="246" w:lineRule="auto"/>
      </w:pPr>
    </w:p>
    <w:p w14:paraId="382F9658">
      <w:pPr>
        <w:pStyle w:val="2"/>
        <w:spacing w:line="247" w:lineRule="auto"/>
      </w:pPr>
    </w:p>
    <w:p w14:paraId="3BA9B4F8">
      <w:pPr>
        <w:pStyle w:val="2"/>
        <w:spacing w:line="247" w:lineRule="auto"/>
      </w:pPr>
    </w:p>
    <w:p w14:paraId="40013263">
      <w:pPr>
        <w:pStyle w:val="2"/>
        <w:spacing w:line="247" w:lineRule="auto"/>
      </w:pPr>
    </w:p>
    <w:p w14:paraId="05C569F7">
      <w:pPr>
        <w:pStyle w:val="2"/>
        <w:spacing w:line="247" w:lineRule="auto"/>
      </w:pPr>
    </w:p>
    <w:p w14:paraId="6E2322D2">
      <w:pPr>
        <w:pStyle w:val="2"/>
        <w:spacing w:line="247" w:lineRule="auto"/>
      </w:pPr>
    </w:p>
    <w:p w14:paraId="356BE6CE">
      <w:pPr>
        <w:pStyle w:val="2"/>
        <w:spacing w:line="247" w:lineRule="auto"/>
      </w:pPr>
    </w:p>
    <w:p w14:paraId="4CF825A5">
      <w:pPr>
        <w:pStyle w:val="2"/>
        <w:spacing w:line="247" w:lineRule="auto"/>
      </w:pPr>
    </w:p>
    <w:p w14:paraId="221C4849">
      <w:pPr>
        <w:pStyle w:val="2"/>
        <w:spacing w:line="247" w:lineRule="auto"/>
      </w:pPr>
    </w:p>
    <w:p w14:paraId="5B2FF37F">
      <w:pPr>
        <w:pStyle w:val="2"/>
        <w:spacing w:line="247" w:lineRule="auto"/>
      </w:pPr>
    </w:p>
    <w:p w14:paraId="3D52678F">
      <w:pPr>
        <w:pStyle w:val="2"/>
        <w:spacing w:line="247" w:lineRule="auto"/>
      </w:pPr>
    </w:p>
    <w:p w14:paraId="1BB03C6C">
      <w:pPr>
        <w:pStyle w:val="2"/>
        <w:spacing w:line="247" w:lineRule="auto"/>
      </w:pPr>
    </w:p>
    <w:p w14:paraId="042CE2AB">
      <w:pPr>
        <w:spacing w:before="101" w:line="223" w:lineRule="auto"/>
        <w:ind w:left="3169"/>
        <w:rPr>
          <w:rFonts w:ascii="楷体" w:hAnsi="楷体" w:eastAsia="楷体" w:cs="楷体"/>
          <w:sz w:val="31"/>
          <w:szCs w:val="31"/>
        </w:rPr>
      </w:pPr>
      <w:r>
        <w:rPr>
          <w:rFonts w:hint="eastAsia" w:ascii="楷体" w:hAnsi="楷体" w:eastAsia="楷体" w:cs="楷体"/>
          <w:spacing w:val="4"/>
          <w:sz w:val="31"/>
          <w:szCs w:val="31"/>
          <w:lang w:val="en-US" w:eastAsia="zh-CN"/>
        </w:rPr>
        <w:t>洛隆县</w:t>
      </w:r>
      <w:r>
        <w:rPr>
          <w:rFonts w:ascii="楷体" w:hAnsi="楷体" w:eastAsia="楷体" w:cs="楷体"/>
          <w:spacing w:val="4"/>
          <w:sz w:val="31"/>
          <w:szCs w:val="31"/>
        </w:rPr>
        <w:t>人民政府</w:t>
      </w:r>
    </w:p>
    <w:p w14:paraId="5FCD99FF">
      <w:pPr>
        <w:spacing w:before="225" w:line="222" w:lineRule="auto"/>
        <w:ind w:left="3419"/>
        <w:rPr>
          <w:rFonts w:ascii="楷体" w:hAnsi="楷体" w:eastAsia="楷体" w:cs="楷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2026 </w:t>
      </w:r>
      <w:r>
        <w:rPr>
          <w:rFonts w:ascii="楷体" w:hAnsi="楷体" w:eastAsia="楷体" w:cs="楷体"/>
          <w:spacing w:val="1"/>
          <w:sz w:val="31"/>
          <w:szCs w:val="31"/>
        </w:rPr>
        <w:t>年</w:t>
      </w:r>
      <w:r>
        <w:rPr>
          <w:rFonts w:ascii="楷体" w:hAnsi="楷体" w:eastAsia="楷体" w:cs="楷体"/>
          <w:spacing w:val="-5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pacing w:val="33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</w:rPr>
        <w:t>月</w:t>
      </w:r>
    </w:p>
    <w:p w14:paraId="6011F2D4">
      <w:pPr>
        <w:spacing w:line="222" w:lineRule="auto"/>
        <w:rPr>
          <w:rFonts w:ascii="楷体" w:hAnsi="楷体" w:eastAsia="楷体" w:cs="楷体"/>
          <w:sz w:val="31"/>
          <w:szCs w:val="31"/>
        </w:rPr>
        <w:sectPr>
          <w:footerReference r:id="rId5" w:type="default"/>
          <w:pgSz w:w="11906" w:h="16838"/>
          <w:pgMar w:top="1431" w:right="1785" w:bottom="0" w:left="1785" w:header="0" w:footer="0" w:gutter="0"/>
          <w:pgNumType w:fmt="numberInDash"/>
          <w:cols w:space="720" w:num="1"/>
        </w:sectPr>
      </w:pPr>
    </w:p>
    <w:p w14:paraId="5F1C9391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</w:p>
    <w:p w14:paraId="4998E7FE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本次动态维护工作基于《2024年洛隆县国土空间规划城市体检评估》的相关结论与建议，严守空间安全底线，不突破总体规划确定的保护目标、空间结构与强制性内容。维护方案聚焦目标战略深化落实、功能格局持续稳定、空间要素精准保障，着力支撑“十五五”规划实施，优先化解项目落地空间矛盾，为洛隆县经济社会高质量发展提供坚实的国土空间规划支撑。</w:t>
      </w:r>
    </w:p>
    <w:p w14:paraId="509BDC3B">
      <w:pPr>
        <w:spacing w:before="147" w:line="360" w:lineRule="auto"/>
        <w:ind w:left="671"/>
        <w:rPr>
          <w:rFonts w:hint="eastAsia" w:ascii="方正仿宋_GB2312" w:hAnsi="方正仿宋_GB2312" w:eastAsia="方正仿宋_GB2312" w:cs="方正仿宋_GB2312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4"/>
          <w:position w:val="1"/>
          <w:sz w:val="31"/>
          <w:szCs w:val="31"/>
        </w:rPr>
        <w:t>一、正向优化三条控制线</w:t>
      </w:r>
    </w:p>
    <w:p w14:paraId="7E2F3676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永久基本农田“优进劣出”。以优化农业生产力布局、促进适度规模经营为目标，衔接耕地保护和国土绿化空间专项规划，动态维护永久基本农田，维护后总面积12.29万亩，不低于永久基本农田保护任务，确保总量不减少、质量有提升、布局更合理、集中连片度有提高。</w:t>
      </w:r>
    </w:p>
    <w:p w14:paraId="3E2EAE3C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生态保护红线“整合优化”。以巩固生态保护格局、提升生态系统完整性为目标，动态维护生态保护红线，维护后总面积1811.67平方千米，确保生态保护红线面积不减少、功能不降低。</w:t>
      </w:r>
    </w:p>
    <w:p w14:paraId="45DCA73A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城镇开发边界“集聚增效”。以优化城镇发展格局、增强城镇发展动能为目标，在严守城镇开发边界扩展倍数的前提下，重点围绕“十五五”项目落地，以及公共服务设施及基础设施一体化，动态维护城镇开发边界，维护后扩展倍数保持1.28不变。</w:t>
      </w:r>
    </w:p>
    <w:p w14:paraId="1263E871">
      <w:pPr>
        <w:spacing w:before="3" w:line="360" w:lineRule="auto"/>
        <w:ind w:left="735"/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  <w:lang w:val="en-US" w:eastAsia="zh-CN"/>
        </w:rPr>
        <w:t>二、合理优化规划分区</w:t>
      </w:r>
    </w:p>
    <w:p w14:paraId="3A354A40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依据永久基本农田、生态保护红线、城镇开发边界的动态维护优化成果，以空间战略格局优化为导向，对农田保护区、生态保护区、城镇发展区进行优化调整，并同步联动优化乡村发展区等布局，确保各分区主导功能稳定、空间布局集中连片、整体格局完整联通。</w:t>
      </w:r>
    </w:p>
    <w:p w14:paraId="5D5E11CA">
      <w:pPr>
        <w:spacing w:before="3" w:line="360" w:lineRule="auto"/>
        <w:ind w:left="735"/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</w:rPr>
        <w:t>三、完善中心城区功能体系</w:t>
      </w:r>
    </w:p>
    <w:p w14:paraId="277D1D6E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优化中心城区土地使用和功能布局，完善城市功能和优化空间结构。统筹各级生活圈建设，完善教育、医疗、养老等公共服务设施布局，完善蓝绿开敞空间系统，促进存量用地集约集聚，引导要素合理配置。</w:t>
      </w:r>
    </w:p>
    <w:p w14:paraId="76DD2099">
      <w:pPr>
        <w:spacing w:before="3" w:line="360" w:lineRule="auto"/>
        <w:ind w:left="689"/>
        <w:rPr>
          <w:rFonts w:hint="eastAsia" w:ascii="方正仿宋_GB2312" w:hAnsi="方正仿宋_GB2312" w:eastAsia="方正仿宋_GB2312" w:cs="方正仿宋_GB2312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4"/>
          <w:position w:val="1"/>
          <w:sz w:val="31"/>
          <w:szCs w:val="31"/>
        </w:rPr>
        <w:t>四、优化其他重要控制线</w:t>
      </w:r>
    </w:p>
    <w:p w14:paraId="0A5E4455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在不改变国土空间总体规划确定的城市总体格局和空间结构前提下，按照确实有助于总体规划实施的原则，对中心城区城市绿线、蓝线、紫线、黄线等控制线规模和布局进行优化，相应调整完善控制线内部规划绿地、公共管理与公共服务、公用设施等用地规模和布局。</w:t>
      </w:r>
    </w:p>
    <w:p w14:paraId="35CA4C73">
      <w:pPr>
        <w:spacing w:before="3" w:line="360" w:lineRule="auto"/>
        <w:ind w:left="657"/>
        <w:rPr>
          <w:rFonts w:hint="eastAsia" w:ascii="方正仿宋_GB2312" w:hAnsi="方正仿宋_GB2312" w:eastAsia="方正仿宋_GB2312" w:cs="方正仿宋_GB2312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</w:rPr>
        <w:t>五、更新</w:t>
      </w:r>
      <w:r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  <w:lang w:val="en-US" w:eastAsia="zh-CN"/>
        </w:rPr>
        <w:t>年度</w:t>
      </w:r>
      <w:r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</w:rPr>
        <w:t>重点建设项目清单</w:t>
      </w:r>
    </w:p>
    <w:p w14:paraId="415BC7B0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 xml:space="preserve">以“十五五”重大建设项目清单为基础，衔接各类专项规划，精准梳理基础扎实、实施条件成熟、实施诉求强烈的重点项目，全面开展能源、交通、电力、水利等重点领域项目增补与校核更新，强化项目空间保障，推动规划落地实施。  </w:t>
      </w:r>
    </w:p>
    <w:p w14:paraId="4D60ABF6">
      <w:pPr>
        <w:rPr>
          <w:rFonts w:ascii="微软雅黑" w:hAnsi="微软雅黑" w:eastAsia="微软雅黑" w:cs="微软雅黑"/>
          <w:spacing w:val="-1"/>
          <w:position w:val="-2"/>
          <w:sz w:val="40"/>
          <w:szCs w:val="40"/>
        </w:rPr>
      </w:pPr>
      <w:r>
        <w:rPr>
          <w:rFonts w:ascii="微软雅黑" w:hAnsi="微软雅黑" w:eastAsia="微软雅黑" w:cs="微软雅黑"/>
          <w:spacing w:val="-1"/>
          <w:position w:val="-2"/>
          <w:sz w:val="40"/>
          <w:szCs w:val="40"/>
        </w:rPr>
        <w:br w:type="page"/>
      </w:r>
    </w:p>
    <w:p w14:paraId="48A7FE8D">
      <w:pPr>
        <w:spacing w:before="223" w:line="240" w:lineRule="auto"/>
        <w:ind w:left="231"/>
        <w:jc w:val="left"/>
        <w:rPr>
          <w:rFonts w:hint="eastAsia" w:ascii="方正小标宋_GBK" w:hAnsi="方正小标宋_GBK" w:eastAsia="方正小标宋_GBK" w:cs="方正小标宋_GBK"/>
          <w:spacing w:val="-2"/>
          <w:sz w:val="36"/>
          <w:szCs w:val="36"/>
          <w:lang w:eastAsia="zh-CN"/>
        </w:rPr>
      </w:pPr>
      <w:r>
        <w:rPr>
          <w:rFonts w:hint="eastAsia" w:ascii="方正小标宋_GBK" w:hAnsi="方正小标宋_GBK" w:eastAsia="方正小标宋_GBK" w:cs="方正小标宋_GBK"/>
          <w:spacing w:val="-2"/>
          <w:sz w:val="36"/>
          <w:szCs w:val="36"/>
          <w:lang w:val="en-US" w:eastAsia="zh-CN"/>
        </w:rPr>
        <w:t>附件：</w:t>
      </w:r>
    </w:p>
    <w:p w14:paraId="08867146">
      <w:pPr>
        <w:spacing w:before="101" w:line="222" w:lineRule="auto"/>
        <w:ind w:left="49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图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l</w:t>
      </w:r>
      <w:r>
        <w:rPr>
          <w:rFonts w:ascii="Times New Roman" w:hAnsi="Times New Roman" w:eastAsia="Times New Roman" w:cs="Times New Roman"/>
          <w:spacing w:val="20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4"/>
          <w:sz w:val="31"/>
          <w:szCs w:val="31"/>
        </w:rPr>
        <w:t>三条控制线维护前图</w:t>
      </w:r>
    </w:p>
    <w:p w14:paraId="4363BFC5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  <w:sectPr>
          <w:footerReference r:id="rId6" w:type="default"/>
          <w:pgSz w:w="11906" w:h="16838"/>
          <w:pgMar w:top="1424" w:right="1785" w:bottom="1151" w:left="1785" w:header="0" w:footer="968" w:gutter="0"/>
          <w:pgNumType w:fmt="numberInDash"/>
          <w:cols w:space="720" w:num="1"/>
        </w:sectPr>
      </w:pPr>
      <w:r>
        <w:rPr>
          <w:rFonts w:ascii="仿宋" w:hAnsi="仿宋" w:eastAsia="仿宋" w:cs="仿宋"/>
          <w:sz w:val="31"/>
          <w:szCs w:val="31"/>
        </w:rPr>
        <w:t>图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20"/>
          <w:sz w:val="31"/>
          <w:szCs w:val="31"/>
        </w:rPr>
        <w:t xml:space="preserve">  </w:t>
      </w:r>
      <w:r>
        <w:rPr>
          <w:rFonts w:ascii="仿宋" w:hAnsi="仿宋" w:eastAsia="仿宋" w:cs="仿宋"/>
          <w:sz w:val="31"/>
          <w:szCs w:val="31"/>
        </w:rPr>
        <w:t>三条控制线维护后图</w:t>
      </w:r>
    </w:p>
    <w:p w14:paraId="3544BA92">
      <w:pPr>
        <w:spacing w:line="22388" w:lineRule="exact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-635</wp:posOffset>
            </wp:positionV>
            <wp:extent cx="20075525" cy="14205585"/>
            <wp:effectExtent l="0" t="0" r="3175" b="5715"/>
            <wp:wrapSquare wrapText="bothSides"/>
            <wp:docPr id="1" name="图片 1" descr="C:/Users/Alien/Desktop/公示1.jpg公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lien/Desktop/公示1.jpg公示1"/>
                    <pic:cNvPicPr>
                      <a:picLocks noChangeAspect="1"/>
                    </pic:cNvPicPr>
                  </pic:nvPicPr>
                  <pic:blipFill>
                    <a:blip r:embed="rId10"/>
                    <a:srcRect l="83" r="83"/>
                    <a:stretch>
                      <a:fillRect/>
                    </a:stretch>
                  </pic:blipFill>
                  <pic:spPr>
                    <a:xfrm>
                      <a:off x="0" y="0"/>
                      <a:ext cx="20075525" cy="1420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122A7">
      <w:pPr>
        <w:spacing w:line="22388" w:lineRule="exact"/>
        <w:rPr>
          <w:rFonts w:hint="eastAsia" w:eastAsia="宋体"/>
          <w:lang w:eastAsia="zh-CN"/>
        </w:rPr>
        <w:sectPr>
          <w:headerReference r:id="rId7" w:type="default"/>
          <w:footerReference r:id="rId8" w:type="default"/>
          <w:pgSz w:w="31680" w:h="22402"/>
          <w:pgMar w:top="1" w:right="6" w:bottom="1" w:left="0" w:header="0" w:footer="0" w:gutter="0"/>
          <w:pgNumType w:fmt="numberInDash"/>
          <w:cols w:space="720" w:num="1"/>
        </w:sectPr>
      </w:pPr>
    </w:p>
    <w:p w14:paraId="7E974416">
      <w:pPr>
        <w:spacing w:line="22388" w:lineRule="exac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51435</wp:posOffset>
            </wp:positionV>
            <wp:extent cx="20018375" cy="14164945"/>
            <wp:effectExtent l="0" t="0" r="9525" b="8255"/>
            <wp:wrapSquare wrapText="bothSides"/>
            <wp:docPr id="2" name="图片 2" descr="C:/Users/Alien/Desktop/公示2.jpg公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lien/Desktop/公示2.jpg公示2"/>
                    <pic:cNvPicPr>
                      <a:picLocks noChangeAspect="1"/>
                    </pic:cNvPicPr>
                  </pic:nvPicPr>
                  <pic:blipFill>
                    <a:blip r:embed="rId11"/>
                    <a:srcRect l="83" r="83"/>
                    <a:stretch>
                      <a:fillRect/>
                    </a:stretch>
                  </pic:blipFill>
                  <pic:spPr>
                    <a:xfrm>
                      <a:off x="0" y="0"/>
                      <a:ext cx="20018375" cy="1416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31680" w:h="22402"/>
      <w:pgMar w:top="1" w:right="6" w:bottom="1" w:left="0" w:header="0" w:footer="0" w:gutter="0"/>
      <w:pgNumType w:fmt="numberInDash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" w:fontKey="{D5C77873-440F-4E1C-8A8D-AE73651C43D0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3CCBB459-0262-4FCB-8BE8-7C0E726A83C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EAC5C9B0-9D7A-436C-B648-5B1E10339B6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79C08948-7612-4E66-BC26-8F842FEB01C5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D904E0DC-BC4B-4DC4-8FD7-6D1198FDB89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C94797B1-87FB-432F-BE56-5D996DACA93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AC9554D0-13A5-4B03-B507-9018A82FE5EE}"/>
  </w:font>
  <w:font w:name="WPSEMBED56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55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8CAAA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01F568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LilsvdAgAAJA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UuKWy9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301F568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01FE5E">
    <w:pPr>
      <w:spacing w:line="181" w:lineRule="auto"/>
      <w:ind w:left="4118"/>
      <w:rPr>
        <w:rFonts w:ascii="Times New Roman" w:hAnsi="Times New Roman" w:eastAsia="Times New Roman" w:cs="Times New Roman"/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FA8FD5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Ayd1LdAgAAJA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DJ3Ut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3FA8FD5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eastAsia="Times New Roman" w:cs="Times New Roman"/>
        <w:sz w:val="20"/>
        <w:szCs w:val="20"/>
      </w:rPr>
      <w:t>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55ADFD">
    <w:pPr>
      <w:pStyle w:val="2"/>
      <w:spacing w:line="14" w:lineRule="auto"/>
      <w:rPr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3171EB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PRhHJN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23171EB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734511"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displayBackgroundShape w:val="1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12491EB9"/>
    <w:rsid w:val="1D066045"/>
    <w:rsid w:val="31300F41"/>
    <w:rsid w:val="345E6795"/>
    <w:rsid w:val="408D50B0"/>
    <w:rsid w:val="455B08BC"/>
    <w:rsid w:val="4AAA423C"/>
    <w:rsid w:val="5654457C"/>
    <w:rsid w:val="5EE37FF5"/>
    <w:rsid w:val="659265CD"/>
    <w:rsid w:val="7A9411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1410</Words>
  <Characters>1464</Characters>
  <TotalTime>63</TotalTime>
  <ScaleCrop>false</ScaleCrop>
  <LinksUpToDate>false</LinksUpToDate>
  <CharactersWithSpaces>1480</CharactersWithSpaces>
  <Application>WPS Office_12.1.0.24657_F1E327BC-269C-435d-A152-05C5408002CA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2026-05-07T17:16:00Z</dcterms:created>
  <dc:creator>纸鹤</dc:creator>
  <cp:lastModifiedBy>往       事</cp:lastModifiedBy>
  <cp:lastPrinted>2026-06-02T01:22:00Z</cp:lastPrinted>
  <dcterms:modified xsi:type="dcterms:W3CDTF">2026-06-02T10:26:00Z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2026-05-16T21:30:19Z</vt:filetime>
  </property>
  <property fmtid="{D5CDD505-2E9C-101B-9397-08002B2CF9AE}" pid="4" name="KSOTemplateDocerSaveRecord">
    <vt:lpwstr>eyJoZGlkIjoiZGI3ZTg3MmViZjRiZWNjZjQxZjI3OGJhNWE0ZTczNDMiLCJ1c2VySWQiOiI1NjUyODUzNDYifQ==</vt:lpwstr>
  </property>
  <property fmtid="{D5CDD505-2E9C-101B-9397-08002B2CF9AE}" pid="5" name="KSOProductBuildVer">
    <vt:lpwstr>2052-12.1.0.24657</vt:lpwstr>
  </property>
  <property fmtid="{D5CDD505-2E9C-101B-9397-08002B2CF9AE}" pid="6" name="ICV">
    <vt:lpwstr>2F3A02F4A5924C3C9D02CB12F5C6E1C7_13</vt:lpwstr>
  </property>
</Properties>
</file>