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47969">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左贡县发展和改革委员会关于召开左贡县县城集中供暖价格调整听证会</w:t>
      </w:r>
      <w:r>
        <w:rPr>
          <w:rFonts w:hint="eastAsia" w:ascii="方正小标宋简体" w:hAnsi="方正小标宋简体" w:eastAsia="方正小标宋简体" w:cs="方正小标宋简体"/>
          <w:b/>
          <w:bCs/>
          <w:sz w:val="44"/>
          <w:szCs w:val="44"/>
          <w:lang w:val="en-US" w:eastAsia="zh-CN"/>
        </w:rPr>
        <w:t>的公告</w:t>
      </w:r>
    </w:p>
    <w:p w14:paraId="6DA5C6C8">
      <w:pPr>
        <w:keepNext w:val="0"/>
        <w:keepLines w:val="0"/>
        <w:pageBreakBefore w:val="0"/>
        <w:kinsoku/>
        <w:wordWrap/>
        <w:overflowPunct/>
        <w:topLinePunct w:val="0"/>
        <w:autoSpaceDE/>
        <w:autoSpaceDN/>
        <w:bidi w:val="0"/>
        <w:adjustRightInd/>
        <w:snapToGrid/>
        <w:spacing w:line="576" w:lineRule="exact"/>
        <w:jc w:val="center"/>
        <w:textAlignment w:val="auto"/>
        <w:rPr>
          <w:b/>
          <w:bCs/>
          <w:sz w:val="28"/>
          <w:szCs w:val="32"/>
        </w:rPr>
      </w:pPr>
      <w:r>
        <w:rPr>
          <w:rFonts w:hint="eastAsia" w:ascii="方正小标宋简体" w:hAnsi="方正小标宋简体" w:eastAsia="方正小标宋简体" w:cs="方正小标宋简体"/>
          <w:b/>
          <w:bCs/>
          <w:sz w:val="44"/>
          <w:szCs w:val="44"/>
        </w:rPr>
        <w:t>（第2号）</w:t>
      </w:r>
    </w:p>
    <w:p w14:paraId="0A5FE0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根据《中华人民共和国价格法》、《政府制定价格听证会办法》等法律法规及有关规定，左贡县发展和改革委员会将于20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29日</w:t>
      </w:r>
      <w:r>
        <w:rPr>
          <w:rFonts w:hint="eastAsia" w:ascii="仿宋_GB2312" w:hAnsi="仿宋_GB2312" w:eastAsia="仿宋_GB2312" w:cs="仿宋_GB2312"/>
          <w:sz w:val="32"/>
          <w:szCs w:val="32"/>
        </w:rPr>
        <w:t>召开</w:t>
      </w:r>
      <w:r>
        <w:rPr>
          <w:rFonts w:hint="eastAsia" w:ascii="仿宋_GB2312" w:hAnsi="仿宋_GB2312" w:eastAsia="仿宋_GB2312" w:cs="仿宋_GB2312"/>
          <w:sz w:val="32"/>
          <w:szCs w:val="32"/>
          <w:lang w:eastAsia="zh-CN"/>
        </w:rPr>
        <w:t>左贡县县城集中供暖价格调整</w:t>
      </w:r>
      <w:r>
        <w:rPr>
          <w:rFonts w:hint="eastAsia" w:ascii="仿宋_GB2312" w:hAnsi="仿宋_GB2312" w:eastAsia="仿宋_GB2312" w:cs="仿宋_GB2312"/>
          <w:sz w:val="32"/>
          <w:szCs w:val="32"/>
          <w:lang w:val="en-US" w:eastAsia="zh-CN"/>
        </w:rPr>
        <w:t>听证会,听证参加人通过公开报名征集、相关组织推荐及邀请等方式产生，各项工作已准备就绪。现将有关事项公告如下。</w:t>
      </w:r>
    </w:p>
    <w:p w14:paraId="4DDD15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一、听证事项</w:t>
      </w:r>
    </w:p>
    <w:p w14:paraId="057302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左贡县县城集中供暖价格调整</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w:t>
      </w:r>
    </w:p>
    <w:p w14:paraId="411939E4">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听证</w:t>
      </w:r>
      <w:r>
        <w:rPr>
          <w:rFonts w:hint="eastAsia" w:ascii="黑体" w:hAnsi="黑体" w:eastAsia="黑体" w:cs="黑体"/>
          <w:sz w:val="32"/>
          <w:szCs w:val="32"/>
          <w:lang w:val="en-US" w:eastAsia="zh-CN"/>
        </w:rPr>
        <w:t>时间和地点</w:t>
      </w:r>
    </w:p>
    <w:p w14:paraId="101ECE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时间：2025年9月29日上午10点。</w:t>
      </w:r>
    </w:p>
    <w:p w14:paraId="31F779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地点：左贡县发改委3楼会议室。</w:t>
      </w:r>
    </w:p>
    <w:p w14:paraId="098F1E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72" w:firstLineChars="200"/>
        <w:jc w:val="both"/>
        <w:textAlignment w:val="auto"/>
        <w:rPr>
          <w:rStyle w:val="22"/>
          <w:rFonts w:hint="default" w:ascii="黑体" w:hAnsi="宋体" w:eastAsia="黑体" w:cs="黑体"/>
          <w:b w:val="0"/>
          <w:bCs/>
          <w:i w:val="0"/>
          <w:iCs w:val="0"/>
          <w:caps w:val="0"/>
          <w:spacing w:val="8"/>
          <w:sz w:val="32"/>
          <w:szCs w:val="32"/>
          <w:shd w:val="clear" w:fill="FFFFFF"/>
          <w:lang w:val="en-US" w:eastAsia="zh-CN"/>
        </w:rPr>
      </w:pPr>
      <w:r>
        <w:rPr>
          <w:rStyle w:val="22"/>
          <w:rFonts w:hint="eastAsia" w:ascii="黑体" w:hAnsi="宋体" w:eastAsia="黑体" w:cs="黑体"/>
          <w:b w:val="0"/>
          <w:bCs/>
          <w:i w:val="0"/>
          <w:iCs w:val="0"/>
          <w:caps w:val="0"/>
          <w:spacing w:val="8"/>
          <w:sz w:val="32"/>
          <w:szCs w:val="32"/>
          <w:shd w:val="clear" w:fill="FFFFFF"/>
        </w:rPr>
        <w:t>三、</w:t>
      </w:r>
      <w:r>
        <w:rPr>
          <w:rStyle w:val="22"/>
          <w:rFonts w:hint="eastAsia" w:ascii="黑体" w:hAnsi="宋体" w:eastAsia="黑体" w:cs="黑体"/>
          <w:b w:val="0"/>
          <w:bCs/>
          <w:i w:val="0"/>
          <w:iCs w:val="0"/>
          <w:caps w:val="0"/>
          <w:spacing w:val="8"/>
          <w:sz w:val="32"/>
          <w:szCs w:val="32"/>
          <w:shd w:val="clear" w:fill="FFFFFF"/>
          <w:lang w:val="en-US" w:eastAsia="zh-CN"/>
        </w:rPr>
        <w:t>成本调查情况</w:t>
      </w:r>
    </w:p>
    <w:p w14:paraId="62875A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根据《中华人民共和国价格法》《政府制定价格成本监审办法》等有关规定，按照合法性、相关性、合理性原则，对各项成本数据进行归集、审核、核算。经成本调查，左贡县县城集中供暖2024年-2025年供暖季成本</w:t>
      </w:r>
      <w:r>
        <w:rPr>
          <w:rFonts w:hint="default" w:ascii="仿宋_GB2312" w:hAnsi="仿宋_GB2312" w:eastAsia="仿宋_GB2312" w:cs="仿宋_GB2312"/>
          <w:kern w:val="2"/>
          <w:sz w:val="32"/>
          <w:szCs w:val="32"/>
          <w:lang w:val="en-US" w:eastAsia="zh-CN" w:bidi="ar-SA"/>
        </w:rPr>
        <w:t>11,655,454.99</w:t>
      </w:r>
      <w:r>
        <w:rPr>
          <w:rFonts w:hint="eastAsia" w:ascii="仿宋_GB2312" w:hAnsi="仿宋_GB2312" w:eastAsia="仿宋_GB2312" w:cs="仿宋_GB2312"/>
          <w:kern w:val="2"/>
          <w:sz w:val="32"/>
          <w:szCs w:val="32"/>
          <w:lang w:val="en-US" w:eastAsia="zh-CN" w:bidi="ar-SA"/>
        </w:rPr>
        <w:t>元，供暖面积238186.34平方米,单位供暖成本为48.94元/平方米*供暖季。</w:t>
      </w:r>
    </w:p>
    <w:p w14:paraId="0D05FD2C">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72" w:firstLineChars="200"/>
        <w:jc w:val="both"/>
        <w:textAlignment w:val="auto"/>
        <w:rPr>
          <w:rStyle w:val="22"/>
          <w:rFonts w:hint="default" w:ascii="黑体" w:hAnsi="宋体" w:eastAsia="黑体" w:cs="黑体"/>
          <w:b w:val="0"/>
          <w:bCs/>
          <w:i w:val="0"/>
          <w:iCs w:val="0"/>
          <w:caps w:val="0"/>
          <w:spacing w:val="8"/>
          <w:sz w:val="32"/>
          <w:szCs w:val="32"/>
          <w:shd w:val="clear" w:fill="FFFFFF"/>
          <w:lang w:val="en-US"/>
        </w:rPr>
      </w:pPr>
      <w:r>
        <w:rPr>
          <w:rStyle w:val="22"/>
          <w:rFonts w:hint="eastAsia" w:ascii="黑体" w:hAnsi="宋体" w:eastAsia="黑体" w:cs="黑体"/>
          <w:b w:val="0"/>
          <w:bCs/>
          <w:i w:val="0"/>
          <w:iCs w:val="0"/>
          <w:caps w:val="0"/>
          <w:spacing w:val="8"/>
          <w:sz w:val="32"/>
          <w:szCs w:val="32"/>
          <w:shd w:val="clear" w:fill="FFFFFF"/>
          <w:lang w:val="en-US" w:eastAsia="zh-CN"/>
        </w:rPr>
        <w:t>四、定价听证方案</w:t>
      </w:r>
    </w:p>
    <w:p w14:paraId="38DD1D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（一）背景及实施理由：一是落实中共中央办公厅 国务院办公厅关于完善价格治理机制的意见（2024年12月5日）以及《城市供热价格管理暂行办法》等政策法规要求，统筹考虑用户承受能力、用热需求，按照合理补偿成本、促进节约用热、坚持公平负担的原则，制定和调整供热价格。二是合理补偿供热成本，保障安全稳定供热的现实需要。三是根据《明确我区供暖价格实行政府定价或指导价管理的通知》（藏发改价格〔2024〕293号）文件要求。四是适当与周边地市价格水平相衔接。</w:t>
      </w:r>
    </w:p>
    <w:p w14:paraId="649DC2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（二）价格调整方案</w:t>
      </w:r>
    </w:p>
    <w:p w14:paraId="72F43F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方案一：居民供暖季供暖</w:t>
      </w:r>
      <w:r>
        <w:rPr>
          <w:rFonts w:hint="eastAsia" w:ascii="仿宋_GB2312" w:hAnsi="仿宋_GB2312" w:eastAsia="仿宋_GB2312" w:cs="仿宋_GB2312"/>
          <w:sz w:val="32"/>
          <w:szCs w:val="32"/>
          <w:lang w:val="en-US" w:eastAsia="zh-CN"/>
        </w:rPr>
        <w:t>（学校供暖、养老机构和残疾人托养机构等社会福利场所供暖、宗教场所供暖、社区组织工作用房和居民公益性服务设施供暖等，按照居民供暖价格执行）</w:t>
      </w:r>
      <w:r>
        <w:rPr>
          <w:rFonts w:hint="eastAsia" w:ascii="仿宋_GB2312" w:hAnsi="仿宋_GB2312" w:eastAsia="仿宋_GB2312" w:cs="仿宋_GB2312"/>
          <w:kern w:val="2"/>
          <w:sz w:val="32"/>
          <w:szCs w:val="32"/>
          <w:lang w:val="en-US" w:eastAsia="zh-CN" w:bidi="ar-SA"/>
        </w:rPr>
        <w:t>按供热建筑面积收费46.50元/㎡*供暖季，非居民供暖季供暖（</w:t>
      </w:r>
      <w:r>
        <w:rPr>
          <w:rFonts w:hint="eastAsia" w:ascii="仿宋_GB2312" w:hAnsi="仿宋_GB2312" w:eastAsia="仿宋_GB2312" w:cs="仿宋_GB2312"/>
          <w:sz w:val="32"/>
          <w:szCs w:val="32"/>
          <w:lang w:val="en-US" w:eastAsia="zh-CN"/>
        </w:rPr>
        <w:t>主要指经营服务供暖和行政事业单位供暖</w:t>
      </w:r>
      <w:r>
        <w:rPr>
          <w:rFonts w:hint="eastAsia" w:ascii="仿宋_GB2312" w:hAnsi="仿宋_GB2312" w:eastAsia="仿宋_GB2312" w:cs="仿宋_GB2312"/>
          <w:kern w:val="2"/>
          <w:sz w:val="32"/>
          <w:szCs w:val="32"/>
          <w:lang w:val="en-US" w:eastAsia="zh-CN" w:bidi="ar-SA"/>
        </w:rPr>
        <w:t>）按建筑面积收费53.70元/㎡*供暖季。</w:t>
      </w:r>
    </w:p>
    <w:p w14:paraId="05F5F41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方案二：居民供暖和非居民供暖季供暖均按建筑面积收费48.94元/㎡*供暖季。</w:t>
      </w:r>
    </w:p>
    <w:p w14:paraId="3C38387A">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有关事项说明</w:t>
      </w:r>
    </w:p>
    <w:p w14:paraId="050F92D3">
      <w:pPr>
        <w:pStyle w:val="1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县城低保和特困家庭供暖（需民政部门</w:t>
      </w:r>
      <w:bookmarkStart w:id="0" w:name="_GoBack"/>
      <w:bookmarkEnd w:id="0"/>
      <w:r>
        <w:rPr>
          <w:rFonts w:hint="eastAsia" w:ascii="仿宋_GB2312" w:hAnsi="仿宋_GB2312" w:eastAsia="仿宋_GB2312" w:cs="仿宋_GB2312"/>
          <w:kern w:val="2"/>
          <w:sz w:val="32"/>
          <w:szCs w:val="32"/>
          <w:lang w:val="en-US" w:eastAsia="zh-CN" w:bidi="ar-SA"/>
        </w:rPr>
        <w:t>或者人社局认定），按建筑面积1元/平方米*供暖季，超出收费标准部分由县财政给与补贴。</w:t>
      </w:r>
    </w:p>
    <w:p w14:paraId="3B4FCB68">
      <w:pPr>
        <w:pStyle w:val="1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保障性租赁住房，按有关规定执行居民住宅供热价格。</w:t>
      </w:r>
    </w:p>
    <w:p w14:paraId="568AAF6F">
      <w:pPr>
        <w:pStyle w:val="1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房屋所有权证或不动产权证（统称房产证，下同）未载明建筑面积以及未进行不动产登记的，按供热企业测量并经双方确认的计费面积收取供热费用。</w:t>
      </w:r>
    </w:p>
    <w:p w14:paraId="5F008DE0">
      <w:pPr>
        <w:pStyle w:val="1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房产证未计算面积的楼层，安装使用散热器的收取供热费，计费面积由供热企业测量并经双方确认；未安装使用散热器的不收取供热费。</w:t>
      </w:r>
    </w:p>
    <w:p w14:paraId="7F75D67E">
      <w:pPr>
        <w:pStyle w:val="1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暖季从每年11月1日起至第二年5月1日结束共6个月（特殊极端天气除外）。在室外温度不低于供热系统最低设计温度、建筑维护结构符合当时采暖设计规范标准和室内采暖系统正常运行条件下，供热企业应当保证采暖供热期内用户卧室、起居室的温度不低于18摄氏度。</w:t>
      </w:r>
    </w:p>
    <w:p w14:paraId="05F8428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72" w:firstLineChars="200"/>
        <w:jc w:val="both"/>
        <w:textAlignment w:val="auto"/>
        <w:rPr>
          <w:rStyle w:val="22"/>
          <w:rFonts w:hint="eastAsia" w:ascii="黑体" w:hAnsi="宋体" w:eastAsia="黑体" w:cs="黑体"/>
          <w:b w:val="0"/>
          <w:bCs/>
          <w:i w:val="0"/>
          <w:iCs w:val="0"/>
          <w:caps w:val="0"/>
          <w:spacing w:val="8"/>
          <w:sz w:val="32"/>
          <w:szCs w:val="32"/>
          <w:shd w:val="clear" w:fill="FFFFFF"/>
          <w:lang w:val="en-US" w:eastAsia="zh-CN"/>
        </w:rPr>
      </w:pPr>
      <w:r>
        <w:rPr>
          <w:rStyle w:val="22"/>
          <w:rFonts w:hint="eastAsia" w:ascii="黑体" w:hAnsi="宋体" w:eastAsia="黑体" w:cs="黑体"/>
          <w:b w:val="0"/>
          <w:bCs/>
          <w:i w:val="0"/>
          <w:iCs w:val="0"/>
          <w:caps w:val="0"/>
          <w:spacing w:val="8"/>
          <w:sz w:val="32"/>
          <w:szCs w:val="32"/>
          <w:shd w:val="clear" w:fill="FFFFFF"/>
          <w:lang w:val="en-US" w:eastAsia="zh-CN"/>
        </w:rPr>
        <w:t>五、听证会听证人、旁听人员名单（21人）</w:t>
      </w:r>
    </w:p>
    <w:p w14:paraId="44D095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（一）听证会参加人（共16名）</w:t>
      </w:r>
    </w:p>
    <w:p w14:paraId="3AF22B4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1.人大代表（1名）：郑继强</w:t>
      </w:r>
    </w:p>
    <w:p w14:paraId="103D14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2.政协委员（1名）：朗义</w:t>
      </w:r>
    </w:p>
    <w:p w14:paraId="0A35B6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3.政府部门（5名）</w:t>
      </w:r>
    </w:p>
    <w:p w14:paraId="5C8028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顿玉      左贡县政府办推荐代表</w:t>
      </w:r>
    </w:p>
    <w:p w14:paraId="70D5FF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丁增拥宗  左贡县财政局推荐代表</w:t>
      </w:r>
    </w:p>
    <w:p w14:paraId="08145E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孙振忠    左贡县住建局推荐代表</w:t>
      </w:r>
    </w:p>
    <w:p w14:paraId="251E19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四郎拉姆  左贡县市场监督管理局推荐代表</w:t>
      </w:r>
    </w:p>
    <w:p w14:paraId="3687AF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胡权      左贡县司法局推荐代表</w:t>
      </w:r>
    </w:p>
    <w:p w14:paraId="729BD0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4.消费者代表（8名）</w:t>
      </w:r>
    </w:p>
    <w:p w14:paraId="6A6CFE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尼玛扎巴、巴桑、索朗次仁、拥珠四朗、尼玛占堆、多多、洛曲觉、李维忠</w:t>
      </w:r>
    </w:p>
    <w:p w14:paraId="1D0717B9">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5.经营者代表（1名）</w:t>
      </w:r>
    </w:p>
    <w:p w14:paraId="4D79621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印奇武</w:t>
      </w:r>
      <w:r>
        <w:rPr>
          <w:rFonts w:hint="eastAsia" w:ascii="仿宋_GB2312" w:hAnsi="仿宋_GB2312" w:eastAsia="仿宋_GB2312" w:cs="仿宋_GB2312"/>
          <w:color w:val="0000FF"/>
          <w:kern w:val="2"/>
          <w:sz w:val="32"/>
          <w:szCs w:val="32"/>
          <w:lang w:val="en-US" w:eastAsia="zh-CN" w:bidi="ar-SA"/>
        </w:rPr>
        <w:t xml:space="preserve">  </w:t>
      </w:r>
    </w:p>
    <w:p w14:paraId="3D8DD2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（二）旁听人员（共5名）</w:t>
      </w:r>
    </w:p>
    <w:p w14:paraId="13F176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李勇</w:t>
      </w:r>
    </w:p>
    <w:p w14:paraId="597E68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罗松旺堆</w:t>
      </w:r>
    </w:p>
    <w:p w14:paraId="15688F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格堆次仁</w:t>
      </w:r>
    </w:p>
    <w:p w14:paraId="5B3E86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邓巴次成</w:t>
      </w:r>
    </w:p>
    <w:p w14:paraId="27A817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瓦色登巴</w:t>
      </w:r>
    </w:p>
    <w:p w14:paraId="0257E1E4">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72" w:firstLineChars="200"/>
        <w:jc w:val="both"/>
        <w:textAlignment w:val="auto"/>
        <w:rPr>
          <w:rStyle w:val="22"/>
          <w:rFonts w:hint="default" w:ascii="黑体" w:hAnsi="宋体" w:eastAsia="黑体" w:cs="黑体"/>
          <w:b w:val="0"/>
          <w:bCs/>
          <w:i w:val="0"/>
          <w:iCs w:val="0"/>
          <w:caps w:val="0"/>
          <w:spacing w:val="8"/>
          <w:sz w:val="32"/>
          <w:szCs w:val="32"/>
          <w:shd w:val="clear" w:fill="FFFFFF"/>
          <w:lang w:val="en-US" w:eastAsia="zh-CN"/>
        </w:rPr>
      </w:pPr>
      <w:r>
        <w:rPr>
          <w:rStyle w:val="22"/>
          <w:rFonts w:hint="eastAsia" w:ascii="黑体" w:hAnsi="宋体" w:eastAsia="黑体" w:cs="黑体"/>
          <w:b w:val="0"/>
          <w:bCs/>
          <w:i w:val="0"/>
          <w:iCs w:val="0"/>
          <w:caps w:val="0"/>
          <w:spacing w:val="8"/>
          <w:sz w:val="32"/>
          <w:szCs w:val="32"/>
          <w:shd w:val="clear" w:fill="FFFFFF"/>
          <w:lang w:val="en-US" w:eastAsia="zh-CN"/>
        </w:rPr>
        <w:t>六、听证人</w:t>
      </w:r>
    </w:p>
    <w:p w14:paraId="1C2B7D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  文  县委常委、政府常务副县长</w:t>
      </w:r>
    </w:p>
    <w:p w14:paraId="1C336C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姚国文  左贡县发展和改革委员会主任</w:t>
      </w:r>
    </w:p>
    <w:p w14:paraId="5C5EDF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  杰  左贡县发展和改革委员会四级主任科员</w:t>
      </w:r>
    </w:p>
    <w:p w14:paraId="680B41F1">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72" w:firstLineChars="200"/>
        <w:jc w:val="both"/>
        <w:textAlignment w:val="auto"/>
        <w:rPr>
          <w:rStyle w:val="22"/>
          <w:rFonts w:hint="eastAsia" w:ascii="黑体" w:hAnsi="宋体" w:eastAsia="黑体" w:cs="黑体"/>
          <w:b w:val="0"/>
          <w:bCs/>
          <w:i w:val="0"/>
          <w:iCs w:val="0"/>
          <w:caps w:val="0"/>
          <w:spacing w:val="8"/>
          <w:sz w:val="32"/>
          <w:szCs w:val="32"/>
          <w:shd w:val="clear" w:fill="FFFFFF"/>
          <w:lang w:val="en-US" w:eastAsia="zh-CN"/>
        </w:rPr>
      </w:pPr>
      <w:r>
        <w:rPr>
          <w:rStyle w:val="22"/>
          <w:rFonts w:hint="eastAsia" w:ascii="黑体" w:hAnsi="宋体" w:eastAsia="黑体" w:cs="黑体"/>
          <w:b w:val="0"/>
          <w:bCs/>
          <w:i w:val="0"/>
          <w:iCs w:val="0"/>
          <w:caps w:val="0"/>
          <w:spacing w:val="8"/>
          <w:sz w:val="32"/>
          <w:szCs w:val="32"/>
          <w:shd w:val="clear" w:fill="FFFFFF"/>
          <w:lang w:val="en-US" w:eastAsia="zh-CN"/>
        </w:rPr>
        <w:t>七、其他需要说明的事项</w:t>
      </w:r>
    </w:p>
    <w:p w14:paraId="6F8CF2E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为更广泛听取意见和建议，自本公告发布之日起至2025年9月26日，左贡县发改委开通征询意见电子邮箱：</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"mailto:zgxfgw@163.com，敬请将意见与建议发给我们。"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zgxfgw@163.com，敬请将意见与建议发给我们。</w:t>
      </w:r>
      <w:r>
        <w:rPr>
          <w:rFonts w:hint="eastAsia" w:ascii="仿宋_GB2312" w:hAnsi="仿宋_GB2312" w:eastAsia="仿宋_GB2312" w:cs="仿宋_GB2312"/>
          <w:kern w:val="2"/>
          <w:sz w:val="32"/>
          <w:szCs w:val="32"/>
          <w:lang w:val="en-US" w:eastAsia="zh-CN" w:bidi="ar-SA"/>
        </w:rPr>
        <w:fldChar w:fldCharType="end"/>
      </w:r>
    </w:p>
    <w:p w14:paraId="3899A925">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p>
    <w:p w14:paraId="65F42225">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特此公告。</w:t>
      </w:r>
    </w:p>
    <w:p w14:paraId="5D4CDC03">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p>
    <w:p w14:paraId="47E3FCB9">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p>
    <w:p w14:paraId="39135154">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3325495</wp:posOffset>
            </wp:positionH>
            <wp:positionV relativeFrom="paragraph">
              <wp:posOffset>217170</wp:posOffset>
            </wp:positionV>
            <wp:extent cx="1737995" cy="1748790"/>
            <wp:effectExtent l="0" t="0" r="0" b="0"/>
            <wp:wrapNone/>
            <wp:docPr id="3" name="图片 3" descr="20240322161900453_00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40322161900453_00_副本"/>
                    <pic:cNvPicPr>
                      <a:picLocks noChangeAspect="1"/>
                    </pic:cNvPicPr>
                  </pic:nvPicPr>
                  <pic:blipFill>
                    <a:blip r:embed="rId4"/>
                    <a:stretch>
                      <a:fillRect/>
                    </a:stretch>
                  </pic:blipFill>
                  <pic:spPr>
                    <a:xfrm>
                      <a:off x="0" y="0"/>
                      <a:ext cx="1737995" cy="1748790"/>
                    </a:xfrm>
                    <a:prstGeom prst="rect">
                      <a:avLst/>
                    </a:prstGeom>
                  </pic:spPr>
                </pic:pic>
              </a:graphicData>
            </a:graphic>
          </wp:anchor>
        </w:drawing>
      </w:r>
    </w:p>
    <w:p w14:paraId="42C17385">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right"/>
        <w:textAlignment w:val="auto"/>
        <w:rPr>
          <w:rFonts w:hint="eastAsia" w:ascii="仿宋_GB2312" w:hAnsi="仿宋_GB2312" w:eastAsia="仿宋_GB2312" w:cs="仿宋_GB2312"/>
          <w:kern w:val="2"/>
          <w:sz w:val="32"/>
          <w:szCs w:val="32"/>
          <w:lang w:val="en-US" w:eastAsia="zh-CN" w:bidi="ar-SA"/>
        </w:rPr>
      </w:pPr>
    </w:p>
    <w:p w14:paraId="0936BF1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Chars="200" w:right="0" w:rightChars="0"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左贡县发展和改革委员会</w:t>
      </w:r>
    </w:p>
    <w:p w14:paraId="40DB7EAA">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6" w:lineRule="exact"/>
        <w:ind w:leftChars="200" w:right="0" w:rightChars="0" w:firstLine="640" w:firstLineChars="200"/>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2025年9月12日  </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A8E410-A3CA-48CF-97AB-F64A205F7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4DC30C0-2AEC-43A2-9CE3-6EAB4F2EFCC5}"/>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6AFD3C58-CEAF-483E-A06A-57DF2A0034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6BBC5"/>
    <w:multiLevelType w:val="singleLevel"/>
    <w:tmpl w:val="C956BBC5"/>
    <w:lvl w:ilvl="0" w:tentative="0">
      <w:start w:val="2"/>
      <w:numFmt w:val="chineseCounting"/>
      <w:suff w:val="nothing"/>
      <w:lvlText w:val="%1、"/>
      <w:lvlJc w:val="left"/>
      <w:rPr>
        <w:rFonts w:hint="eastAsia"/>
      </w:rPr>
    </w:lvl>
  </w:abstractNum>
  <w:abstractNum w:abstractNumId="1">
    <w:nsid w:val="339731EE"/>
    <w:multiLevelType w:val="singleLevel"/>
    <w:tmpl w:val="339731EE"/>
    <w:lvl w:ilvl="0" w:tentative="0">
      <w:start w:val="3"/>
      <w:numFmt w:val="chineseCounting"/>
      <w:suff w:val="nothing"/>
      <w:lvlText w:val="（%1）"/>
      <w:lvlJc w:val="left"/>
      <w:rPr>
        <w:rFonts w:hint="eastAsia"/>
      </w:rPr>
    </w:lvl>
  </w:abstractNum>
  <w:abstractNum w:abstractNumId="2">
    <w:nsid w:val="53710D45"/>
    <w:multiLevelType w:val="singleLevel"/>
    <w:tmpl w:val="53710D4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4NGExOTZmNTZjY2U3MTg0ZGNmNDg2NTJhNzY2ODkifQ=="/>
  </w:docVars>
  <w:rsids>
    <w:rsidRoot w:val="000A6C76"/>
    <w:rsid w:val="00012EC2"/>
    <w:rsid w:val="00013A6B"/>
    <w:rsid w:val="000A6C76"/>
    <w:rsid w:val="000F64A2"/>
    <w:rsid w:val="0013214A"/>
    <w:rsid w:val="00165B01"/>
    <w:rsid w:val="002033DB"/>
    <w:rsid w:val="003F1C52"/>
    <w:rsid w:val="004C3C50"/>
    <w:rsid w:val="00540A0A"/>
    <w:rsid w:val="00572694"/>
    <w:rsid w:val="00694EEB"/>
    <w:rsid w:val="006A6582"/>
    <w:rsid w:val="00734F31"/>
    <w:rsid w:val="007568DA"/>
    <w:rsid w:val="008F63F9"/>
    <w:rsid w:val="009C78AB"/>
    <w:rsid w:val="00B92A93"/>
    <w:rsid w:val="00BF37C5"/>
    <w:rsid w:val="00C973E3"/>
    <w:rsid w:val="00CA47D5"/>
    <w:rsid w:val="00D83A47"/>
    <w:rsid w:val="00E0657B"/>
    <w:rsid w:val="00EE4681"/>
    <w:rsid w:val="00F039B3"/>
    <w:rsid w:val="00F211E6"/>
    <w:rsid w:val="00F748CB"/>
    <w:rsid w:val="00F755B1"/>
    <w:rsid w:val="01122D36"/>
    <w:rsid w:val="028F1499"/>
    <w:rsid w:val="02B56978"/>
    <w:rsid w:val="03190911"/>
    <w:rsid w:val="03716D12"/>
    <w:rsid w:val="038A3960"/>
    <w:rsid w:val="03B92498"/>
    <w:rsid w:val="05A42878"/>
    <w:rsid w:val="05D14E47"/>
    <w:rsid w:val="06E34FC2"/>
    <w:rsid w:val="07A657C1"/>
    <w:rsid w:val="07B93E4E"/>
    <w:rsid w:val="08602EE2"/>
    <w:rsid w:val="0A2335E3"/>
    <w:rsid w:val="0AF049F1"/>
    <w:rsid w:val="0D611858"/>
    <w:rsid w:val="0EF32D02"/>
    <w:rsid w:val="115B693C"/>
    <w:rsid w:val="127B4DDD"/>
    <w:rsid w:val="12A12A75"/>
    <w:rsid w:val="130A686C"/>
    <w:rsid w:val="13B011C1"/>
    <w:rsid w:val="13BC29A5"/>
    <w:rsid w:val="14236EA6"/>
    <w:rsid w:val="14CE4563"/>
    <w:rsid w:val="156E6271"/>
    <w:rsid w:val="15BF56CB"/>
    <w:rsid w:val="16F00564"/>
    <w:rsid w:val="19151AC7"/>
    <w:rsid w:val="19314B52"/>
    <w:rsid w:val="19901C51"/>
    <w:rsid w:val="1A9F3D3E"/>
    <w:rsid w:val="1AB0025A"/>
    <w:rsid w:val="1AF165FE"/>
    <w:rsid w:val="1B414DF5"/>
    <w:rsid w:val="1B771A44"/>
    <w:rsid w:val="1D6B6159"/>
    <w:rsid w:val="20176124"/>
    <w:rsid w:val="207672EF"/>
    <w:rsid w:val="2117534C"/>
    <w:rsid w:val="21F14EEC"/>
    <w:rsid w:val="22FB1D2D"/>
    <w:rsid w:val="235F650A"/>
    <w:rsid w:val="24284DA4"/>
    <w:rsid w:val="25126007"/>
    <w:rsid w:val="257D4196"/>
    <w:rsid w:val="258B71D7"/>
    <w:rsid w:val="27396F1F"/>
    <w:rsid w:val="28EA61ED"/>
    <w:rsid w:val="292E13E0"/>
    <w:rsid w:val="296A5BBD"/>
    <w:rsid w:val="29BC3DB2"/>
    <w:rsid w:val="29EE50F7"/>
    <w:rsid w:val="2C575F05"/>
    <w:rsid w:val="2C603817"/>
    <w:rsid w:val="2D8D0A68"/>
    <w:rsid w:val="2DEC6E42"/>
    <w:rsid w:val="2E314968"/>
    <w:rsid w:val="30E107B4"/>
    <w:rsid w:val="3101577F"/>
    <w:rsid w:val="3243230E"/>
    <w:rsid w:val="32D677E9"/>
    <w:rsid w:val="32F45329"/>
    <w:rsid w:val="332D469A"/>
    <w:rsid w:val="33E67E90"/>
    <w:rsid w:val="35275802"/>
    <w:rsid w:val="38483EEB"/>
    <w:rsid w:val="389E6A5F"/>
    <w:rsid w:val="39331DC9"/>
    <w:rsid w:val="39C90E56"/>
    <w:rsid w:val="3A405329"/>
    <w:rsid w:val="3ADF7397"/>
    <w:rsid w:val="3B2C087E"/>
    <w:rsid w:val="3ECB4DFA"/>
    <w:rsid w:val="3F417796"/>
    <w:rsid w:val="3F9D2308"/>
    <w:rsid w:val="40B31EB7"/>
    <w:rsid w:val="40E51BFB"/>
    <w:rsid w:val="41083B3B"/>
    <w:rsid w:val="420F3A27"/>
    <w:rsid w:val="42164036"/>
    <w:rsid w:val="42AB0C22"/>
    <w:rsid w:val="45961498"/>
    <w:rsid w:val="4626534C"/>
    <w:rsid w:val="467852BF"/>
    <w:rsid w:val="46795941"/>
    <w:rsid w:val="49D27FD2"/>
    <w:rsid w:val="49F027ED"/>
    <w:rsid w:val="4A315EB1"/>
    <w:rsid w:val="4AB95F5C"/>
    <w:rsid w:val="4B266B52"/>
    <w:rsid w:val="4DA1334D"/>
    <w:rsid w:val="4EA604F0"/>
    <w:rsid w:val="4F0F200E"/>
    <w:rsid w:val="4FFA244C"/>
    <w:rsid w:val="502F6A2D"/>
    <w:rsid w:val="50566671"/>
    <w:rsid w:val="51EF0B7B"/>
    <w:rsid w:val="524F2AE6"/>
    <w:rsid w:val="526130AB"/>
    <w:rsid w:val="54A51975"/>
    <w:rsid w:val="54FB7769"/>
    <w:rsid w:val="551332FF"/>
    <w:rsid w:val="566E5733"/>
    <w:rsid w:val="56D81ADE"/>
    <w:rsid w:val="57A777B2"/>
    <w:rsid w:val="587E193E"/>
    <w:rsid w:val="5A037476"/>
    <w:rsid w:val="5A2A46CB"/>
    <w:rsid w:val="5AB3021C"/>
    <w:rsid w:val="5AC8787B"/>
    <w:rsid w:val="5AF26F96"/>
    <w:rsid w:val="5AFB4ECC"/>
    <w:rsid w:val="5B9E6E9E"/>
    <w:rsid w:val="5BF3746A"/>
    <w:rsid w:val="5C514191"/>
    <w:rsid w:val="5C86208C"/>
    <w:rsid w:val="5CEE78AC"/>
    <w:rsid w:val="5E115985"/>
    <w:rsid w:val="5EE66BB0"/>
    <w:rsid w:val="616D55C9"/>
    <w:rsid w:val="616F5A7E"/>
    <w:rsid w:val="61D12D40"/>
    <w:rsid w:val="621B607C"/>
    <w:rsid w:val="62680AD9"/>
    <w:rsid w:val="62E7131C"/>
    <w:rsid w:val="632D5C5B"/>
    <w:rsid w:val="639808F7"/>
    <w:rsid w:val="645B2050"/>
    <w:rsid w:val="66482160"/>
    <w:rsid w:val="68BF33A8"/>
    <w:rsid w:val="69205616"/>
    <w:rsid w:val="696B2119"/>
    <w:rsid w:val="69805B52"/>
    <w:rsid w:val="69E62E1A"/>
    <w:rsid w:val="6AEA009E"/>
    <w:rsid w:val="6AF723A7"/>
    <w:rsid w:val="6DC9002B"/>
    <w:rsid w:val="6DD662A4"/>
    <w:rsid w:val="6E5A3514"/>
    <w:rsid w:val="6F141745"/>
    <w:rsid w:val="6F992425"/>
    <w:rsid w:val="72BB40D2"/>
    <w:rsid w:val="732948A7"/>
    <w:rsid w:val="734E78AC"/>
    <w:rsid w:val="73FB40EC"/>
    <w:rsid w:val="764F20C2"/>
    <w:rsid w:val="764F3097"/>
    <w:rsid w:val="76896314"/>
    <w:rsid w:val="76E75B6C"/>
    <w:rsid w:val="76ED1824"/>
    <w:rsid w:val="77127C86"/>
    <w:rsid w:val="77411CB1"/>
    <w:rsid w:val="784322CA"/>
    <w:rsid w:val="795D43D7"/>
    <w:rsid w:val="7A3C4C7A"/>
    <w:rsid w:val="7B454A69"/>
    <w:rsid w:val="7BB8230D"/>
    <w:rsid w:val="7C480418"/>
    <w:rsid w:val="7DF97536"/>
    <w:rsid w:val="7E0D1B9F"/>
    <w:rsid w:val="7E7365EF"/>
    <w:rsid w:val="7F9D02E5"/>
    <w:rsid w:val="7FCB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semiHidden/>
    <w:unhideWhenUsed/>
    <w:qFormat/>
    <w:uiPriority w:val="99"/>
    <w:pPr>
      <w:jc w:val="left"/>
    </w:pPr>
  </w:style>
  <w:style w:type="paragraph" w:styleId="12">
    <w:name w:val="Balloon Text"/>
    <w:basedOn w:val="1"/>
    <w:link w:val="45"/>
    <w:semiHidden/>
    <w:unhideWhenUsed/>
    <w:qFormat/>
    <w:uiPriority w:val="99"/>
    <w:rPr>
      <w:sz w:val="18"/>
      <w:szCs w:val="18"/>
    </w:rPr>
  </w:style>
  <w:style w:type="paragraph" w:styleId="13">
    <w:name w:val="footer"/>
    <w:basedOn w:val="1"/>
    <w:link w:val="47"/>
    <w:unhideWhenUsed/>
    <w:qFormat/>
    <w:uiPriority w:val="99"/>
    <w:pPr>
      <w:tabs>
        <w:tab w:val="center" w:pos="4153"/>
        <w:tab w:val="right" w:pos="8306"/>
      </w:tabs>
      <w:snapToGrid w:val="0"/>
      <w:jc w:val="left"/>
    </w:pPr>
    <w:rPr>
      <w:sz w:val="18"/>
      <w:szCs w:val="18"/>
    </w:rPr>
  </w:style>
  <w:style w:type="paragraph" w:styleId="14">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4"/>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character" w:styleId="24">
    <w:name w:val="annotation reference"/>
    <w:basedOn w:val="21"/>
    <w:semiHidden/>
    <w:unhideWhenUsed/>
    <w:qFormat/>
    <w:uiPriority w:val="99"/>
    <w:rPr>
      <w:sz w:val="21"/>
      <w:szCs w:val="21"/>
    </w:rPr>
  </w:style>
  <w:style w:type="character" w:customStyle="1" w:styleId="25">
    <w:name w:val="标题 1 字符"/>
    <w:basedOn w:val="21"/>
    <w:link w:val="2"/>
    <w:qFormat/>
    <w:uiPriority w:val="9"/>
    <w:rPr>
      <w:rFonts w:asciiTheme="majorHAnsi" w:hAnsiTheme="majorHAnsi" w:eastAsiaTheme="majorEastAsia" w:cstheme="majorBidi"/>
      <w:color w:val="376092" w:themeColor="accent1" w:themeShade="BF"/>
      <w:sz w:val="48"/>
      <w:szCs w:val="48"/>
    </w:rPr>
  </w:style>
  <w:style w:type="character" w:customStyle="1" w:styleId="26">
    <w:name w:val="标题 2 字符"/>
    <w:basedOn w:val="21"/>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7">
    <w:name w:val="标题 3 字符"/>
    <w:basedOn w:val="21"/>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8">
    <w:name w:val="标题 4 字符"/>
    <w:basedOn w:val="21"/>
    <w:link w:val="5"/>
    <w:semiHidden/>
    <w:qFormat/>
    <w:uiPriority w:val="9"/>
    <w:rPr>
      <w:rFonts w:cstheme="majorBidi"/>
      <w:color w:val="376092" w:themeColor="accent1" w:themeShade="BF"/>
      <w:sz w:val="28"/>
      <w:szCs w:val="28"/>
    </w:rPr>
  </w:style>
  <w:style w:type="character" w:customStyle="1" w:styleId="29">
    <w:name w:val="标题 5 字符"/>
    <w:basedOn w:val="21"/>
    <w:link w:val="6"/>
    <w:semiHidden/>
    <w:qFormat/>
    <w:uiPriority w:val="9"/>
    <w:rPr>
      <w:rFonts w:cstheme="majorBidi"/>
      <w:color w:val="376092" w:themeColor="accent1" w:themeShade="BF"/>
      <w:sz w:val="24"/>
      <w:szCs w:val="24"/>
    </w:rPr>
  </w:style>
  <w:style w:type="character" w:customStyle="1" w:styleId="30">
    <w:name w:val="标题 6 字符"/>
    <w:basedOn w:val="21"/>
    <w:link w:val="7"/>
    <w:semiHidden/>
    <w:qFormat/>
    <w:uiPriority w:val="9"/>
    <w:rPr>
      <w:rFonts w:cstheme="majorBidi"/>
      <w:b/>
      <w:bCs/>
      <w:color w:val="376092" w:themeColor="accent1" w:themeShade="BF"/>
    </w:rPr>
  </w:style>
  <w:style w:type="character" w:customStyle="1" w:styleId="31">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1"/>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1"/>
    <w:qFormat/>
    <w:uiPriority w:val="21"/>
    <w:rPr>
      <w:i/>
      <w:iCs/>
      <w:color w:val="376092" w:themeColor="accent1" w:themeShade="BF"/>
    </w:rPr>
  </w:style>
  <w:style w:type="paragraph" w:styleId="40">
    <w:name w:val="Intense Quote"/>
    <w:basedOn w:val="1"/>
    <w:next w:val="1"/>
    <w:link w:val="4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1">
    <w:name w:val="明显引用 字符"/>
    <w:basedOn w:val="21"/>
    <w:link w:val="40"/>
    <w:qFormat/>
    <w:uiPriority w:val="30"/>
    <w:rPr>
      <w:i/>
      <w:iCs/>
      <w:color w:val="376092" w:themeColor="accent1" w:themeShade="BF"/>
    </w:rPr>
  </w:style>
  <w:style w:type="character" w:customStyle="1" w:styleId="42">
    <w:name w:val="Intense Reference"/>
    <w:basedOn w:val="21"/>
    <w:qFormat/>
    <w:uiPriority w:val="32"/>
    <w:rPr>
      <w:b/>
      <w:bCs/>
      <w:smallCaps/>
      <w:color w:val="376092" w:themeColor="accent1" w:themeShade="BF"/>
      <w:spacing w:val="5"/>
    </w:rPr>
  </w:style>
  <w:style w:type="character" w:customStyle="1" w:styleId="43">
    <w:name w:val="批注文字 字符"/>
    <w:basedOn w:val="21"/>
    <w:link w:val="11"/>
    <w:semiHidden/>
    <w:qFormat/>
    <w:uiPriority w:val="99"/>
  </w:style>
  <w:style w:type="character" w:customStyle="1" w:styleId="44">
    <w:name w:val="批注主题 字符"/>
    <w:basedOn w:val="43"/>
    <w:link w:val="18"/>
    <w:semiHidden/>
    <w:qFormat/>
    <w:uiPriority w:val="99"/>
    <w:rPr>
      <w:b/>
      <w:bCs/>
    </w:rPr>
  </w:style>
  <w:style w:type="character" w:customStyle="1" w:styleId="45">
    <w:name w:val="批注框文本 字符"/>
    <w:basedOn w:val="21"/>
    <w:link w:val="12"/>
    <w:semiHidden/>
    <w:qFormat/>
    <w:uiPriority w:val="99"/>
    <w:rPr>
      <w:sz w:val="18"/>
      <w:szCs w:val="18"/>
    </w:rPr>
  </w:style>
  <w:style w:type="character" w:customStyle="1" w:styleId="46">
    <w:name w:val="页眉 字符"/>
    <w:basedOn w:val="21"/>
    <w:link w:val="14"/>
    <w:qFormat/>
    <w:uiPriority w:val="99"/>
    <w:rPr>
      <w:sz w:val="18"/>
      <w:szCs w:val="18"/>
    </w:rPr>
  </w:style>
  <w:style w:type="character" w:customStyle="1" w:styleId="47">
    <w:name w:val="页脚 字符"/>
    <w:basedOn w:val="21"/>
    <w:link w:val="13"/>
    <w:qFormat/>
    <w:uiPriority w:val="99"/>
    <w:rPr>
      <w:sz w:val="18"/>
      <w:szCs w:val="18"/>
    </w:rPr>
  </w:style>
  <w:style w:type="character" w:customStyle="1" w:styleId="48">
    <w:name w:val="font21"/>
    <w:basedOn w:val="21"/>
    <w:qFormat/>
    <w:uiPriority w:val="0"/>
    <w:rPr>
      <w:rFonts w:hint="eastAsia" w:ascii="宋体" w:hAnsi="宋体" w:eastAsia="宋体" w:cs="宋体"/>
      <w:color w:val="000000"/>
      <w:sz w:val="22"/>
      <w:szCs w:val="22"/>
      <w:u w:val="none"/>
    </w:rPr>
  </w:style>
  <w:style w:type="character" w:customStyle="1" w:styleId="49">
    <w:name w:val="font11"/>
    <w:basedOn w:val="2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1451</Words>
  <Characters>1542</Characters>
  <Lines>8</Lines>
  <Paragraphs>2</Paragraphs>
  <TotalTime>0</TotalTime>
  <ScaleCrop>false</ScaleCrop>
  <LinksUpToDate>false</LinksUpToDate>
  <CharactersWithSpaces>1577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2024-04-22T10:35:00Z</dcterms:created>
  <dc:creator>Jintao Cui</dc:creator>
  <cp:lastModifiedBy>WPS_1645237157</cp:lastModifiedBy>
  <cp:lastPrinted>2024-06-06T02:12:00Z</cp:lastPrinted>
  <dcterms:modified xsi:type="dcterms:W3CDTF">2025-09-12T10:10:01Z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FAC18ACA4BB44D2BA358EEF37C4EB541_13</vt:lpwstr>
  </property>
  <property fmtid="{D5CDD505-2E9C-101B-9397-08002B2CF9AE}" pid="4" name="KSOTemplateDocerSaveRecord">
    <vt:lpwstr>eyJoZGlkIjoiZWRmZTFlMmZhMTUxYTZhMTgxMmYwNWJlODdlYmI1NjQiLCJ1c2VySWQiOiIxMzMxNzAwMTQwIn0=</vt:lpwstr>
  </property>
</Properties>
</file>