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9940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w:t>
      </w:r>
      <w:r>
        <w:rPr>
          <w:rFonts w:hint="eastAsia" w:ascii="方正小标宋简体" w:hAnsi="方正小标宋简体" w:eastAsia="方正小标宋简体" w:cs="方正小标宋简体"/>
          <w:sz w:val="44"/>
          <w:szCs w:val="44"/>
        </w:rPr>
        <w:t>左贡县水利局法治政府建设</w:t>
      </w:r>
      <w:r>
        <w:rPr>
          <w:rFonts w:hint="eastAsia" w:ascii="方正小标宋简体" w:hAnsi="方正小标宋简体" w:eastAsia="方正小标宋简体" w:cs="方正小标宋简体"/>
          <w:sz w:val="44"/>
          <w:szCs w:val="44"/>
          <w:lang w:val="en-US" w:eastAsia="zh-CN"/>
        </w:rPr>
        <w:t>情况报告</w:t>
      </w:r>
    </w:p>
    <w:p w14:paraId="48FA50E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_GB2312"/>
          <w:sz w:val="32"/>
          <w:szCs w:val="32"/>
          <w:lang w:val="en-US" w:eastAsia="zh-CN"/>
        </w:rPr>
      </w:pPr>
    </w:p>
    <w:p w14:paraId="6DE2A6E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根据《中共中央办公厅 国务院办公厅关于印发</w:t>
      </w:r>
      <w:r>
        <w:rPr>
          <w:rFonts w:hint="eastAsia" w:ascii="仿宋" w:hAnsi="仿宋" w:eastAsia="仿宋" w:cs="仿宋"/>
          <w:sz w:val="32"/>
          <w:szCs w:val="32"/>
          <w:lang w:val="en-US" w:eastAsia="zh-CN"/>
        </w:rPr>
        <w:t>&lt;法治政府建设与责任落实督察工作的规定&gt;的通知</w:t>
      </w:r>
      <w:r>
        <w:rPr>
          <w:rFonts w:hint="eastAsia" w:ascii="仿宋" w:hAnsi="仿宋" w:eastAsia="仿宋" w:cs="仿宋_GB2312"/>
          <w:sz w:val="32"/>
          <w:szCs w:val="32"/>
          <w:lang w:val="en-US" w:eastAsia="zh-CN"/>
        </w:rPr>
        <w:t>》（厅字</w:t>
      </w:r>
      <w:r>
        <w:rPr>
          <w:rFonts w:hint="eastAsia" w:ascii="宋体" w:hAnsi="宋体" w:eastAsia="宋体" w:cs="宋体"/>
          <w:sz w:val="32"/>
          <w:szCs w:val="32"/>
          <w:lang w:val="en-US" w:eastAsia="zh-CN"/>
        </w:rPr>
        <w:t>〔2019〕28</w:t>
      </w:r>
      <w:r>
        <w:rPr>
          <w:rFonts w:hint="eastAsia" w:ascii="仿宋" w:hAnsi="仿宋" w:eastAsia="仿宋" w:cs="仿宋_GB2312"/>
          <w:sz w:val="32"/>
          <w:szCs w:val="32"/>
          <w:lang w:val="en-US" w:eastAsia="zh-CN"/>
        </w:rPr>
        <w:t>号）文件要求，左贡县水利局2025年度法治政府建设情况报告如下：</w:t>
      </w:r>
    </w:p>
    <w:p w14:paraId="4B4240E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上一年度推进法治政府建设的主要举措和成效</w:t>
      </w:r>
    </w:p>
    <w:p w14:paraId="6F3B34E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_GB2312"/>
          <w:b w:val="0"/>
          <w:bCs w:val="0"/>
          <w:kern w:val="2"/>
          <w:sz w:val="32"/>
          <w:szCs w:val="32"/>
          <w:lang w:val="en-US" w:eastAsia="zh-CN"/>
        </w:rPr>
      </w:pPr>
      <w:r>
        <w:rPr>
          <w:rFonts w:hint="eastAsia" w:ascii="楷体" w:hAnsi="楷体" w:eastAsia="楷体" w:cs="楷体"/>
          <w:b w:val="0"/>
          <w:bCs w:val="0"/>
          <w:kern w:val="2"/>
          <w:sz w:val="32"/>
          <w:szCs w:val="32"/>
          <w:lang w:val="en-US" w:eastAsia="zh-CN"/>
        </w:rPr>
        <w:t>（一）压实法治责任，强化统筹推进效能。</w:t>
      </w:r>
      <w:r>
        <w:rPr>
          <w:rFonts w:hint="eastAsia" w:ascii="仿宋" w:hAnsi="仿宋" w:eastAsia="仿宋" w:cs="仿宋_GB2312"/>
          <w:b w:val="0"/>
          <w:bCs w:val="0"/>
          <w:kern w:val="2"/>
          <w:sz w:val="32"/>
          <w:szCs w:val="32"/>
          <w:lang w:val="en-US" w:eastAsia="zh-CN"/>
        </w:rPr>
        <w:t>健全责任体系，坚持党对法治工作的全面领导，调整完善法治政府建设工作领导小组，明确局主要负责人为第一责任人，细化班子成员“一岗双责”，构建“主要领导亲自抓、分管领导具体抓、全系统齐参与”的工作格局。将法治政府建设纳入党组年度工作计划和绩效考核，与业务工作同部署、同落实、同考核，制定年度实施计划和任务清单，确保各项任务落地见效。</w:t>
      </w:r>
    </w:p>
    <w:p w14:paraId="3F9D1BA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_GB2312"/>
          <w:b w:val="0"/>
          <w:bCs w:val="0"/>
          <w:kern w:val="2"/>
          <w:sz w:val="32"/>
          <w:szCs w:val="32"/>
          <w:lang w:val="en-US" w:eastAsia="zh-CN"/>
        </w:rPr>
      </w:pPr>
      <w:r>
        <w:rPr>
          <w:rFonts w:hint="eastAsia" w:ascii="楷体" w:hAnsi="楷体" w:eastAsia="楷体" w:cs="楷体"/>
          <w:b w:val="0"/>
          <w:bCs w:val="0"/>
          <w:kern w:val="2"/>
          <w:sz w:val="32"/>
          <w:szCs w:val="32"/>
          <w:lang w:val="en-US" w:eastAsia="zh-CN"/>
        </w:rPr>
        <w:t>（二）规范执法行为，提升依法行政效能。</w:t>
      </w:r>
      <w:r>
        <w:rPr>
          <w:rFonts w:hint="eastAsia" w:ascii="仿宋" w:hAnsi="仿宋" w:eastAsia="仿宋" w:cs="仿宋_GB2312"/>
          <w:b w:val="0"/>
          <w:bCs w:val="0"/>
          <w:kern w:val="2"/>
          <w:sz w:val="32"/>
          <w:szCs w:val="32"/>
          <w:lang w:val="en-US" w:eastAsia="zh-CN"/>
        </w:rPr>
        <w:t>全面推行行政执法“三项制度”，规范执法程序与文书制作，确保执法全程可追溯；严格执法人员持证上岗，组织开展法律及业务技能培训，全年人均培训时长不少于60学时。深化“放管服”改革，优化取水许可等审批流程，实现全程线上办理；推行“双随机、一公开”监管，联合多部门开展协同执法巡查2次，严厉打击非法采砂等违法行为。</w:t>
      </w:r>
    </w:p>
    <w:p w14:paraId="617FFA4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_GB2312"/>
          <w:b w:val="0"/>
          <w:bCs w:val="0"/>
          <w:kern w:val="2"/>
          <w:sz w:val="32"/>
          <w:szCs w:val="32"/>
          <w:lang w:val="en-US" w:eastAsia="zh-CN"/>
        </w:rPr>
      </w:pPr>
      <w:r>
        <w:rPr>
          <w:rFonts w:hint="eastAsia" w:ascii="楷体" w:hAnsi="楷体" w:eastAsia="楷体" w:cs="楷体"/>
          <w:b w:val="0"/>
          <w:bCs w:val="0"/>
          <w:kern w:val="2"/>
          <w:sz w:val="32"/>
          <w:szCs w:val="32"/>
          <w:lang w:val="en-US" w:eastAsia="zh-CN"/>
        </w:rPr>
        <w:t>（三）深化普法宣传，营造依法治水氛围。</w:t>
      </w:r>
      <w:r>
        <w:rPr>
          <w:rFonts w:hint="eastAsia" w:ascii="仿宋" w:hAnsi="仿宋" w:eastAsia="仿宋" w:cs="仿宋_GB2312"/>
          <w:b w:val="0"/>
          <w:bCs w:val="0"/>
          <w:kern w:val="2"/>
          <w:sz w:val="32"/>
          <w:szCs w:val="32"/>
          <w:lang w:val="en-US" w:eastAsia="zh-CN"/>
        </w:rPr>
        <w:t>以“世界水日”“中国水周”等节点为契机，通过传统形式与新媒体矩阵开展集中宣传活动2场次，发放资料1000余份。组织队伍深入企业、社区、乡村、学校开展“送法上门”精准普法活动2场次，针对不同群体定制普法内容，实现普法与基层治理、民生服务有机融合。</w:t>
      </w:r>
    </w:p>
    <w:p w14:paraId="4281B2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上一年度推进法治政府建设存在的不足和原因</w:t>
      </w:r>
    </w:p>
    <w:p w14:paraId="7D87F01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_GB2312"/>
          <w:b w:val="0"/>
          <w:bCs w:val="0"/>
          <w:kern w:val="2"/>
          <w:sz w:val="32"/>
          <w:szCs w:val="32"/>
          <w:lang w:val="en-US" w:eastAsia="zh-CN"/>
        </w:rPr>
      </w:pPr>
      <w:r>
        <w:rPr>
          <w:rFonts w:hint="eastAsia" w:ascii="楷体" w:hAnsi="楷体" w:eastAsia="楷体" w:cs="楷体"/>
          <w:b w:val="0"/>
          <w:bCs w:val="0"/>
          <w:kern w:val="2"/>
          <w:sz w:val="32"/>
          <w:szCs w:val="32"/>
          <w:lang w:val="en-US" w:eastAsia="zh-CN"/>
        </w:rPr>
        <w:t>（一）存在的不足。</w:t>
      </w:r>
      <w:r>
        <w:rPr>
          <w:rFonts w:hint="eastAsia" w:ascii="仿宋" w:hAnsi="仿宋" w:eastAsia="仿宋" w:cs="仿宋_GB2312"/>
          <w:b/>
          <w:bCs/>
          <w:kern w:val="2"/>
          <w:sz w:val="32"/>
          <w:szCs w:val="32"/>
          <w:lang w:val="en-US" w:eastAsia="zh-CN"/>
        </w:rPr>
        <w:t>一是</w:t>
      </w:r>
      <w:r>
        <w:rPr>
          <w:rFonts w:hint="eastAsia" w:ascii="仿宋" w:hAnsi="仿宋" w:eastAsia="仿宋" w:cs="仿宋_GB2312"/>
          <w:b w:val="0"/>
          <w:bCs w:val="0"/>
          <w:kern w:val="2"/>
          <w:sz w:val="32"/>
          <w:szCs w:val="32"/>
          <w:lang w:val="en-US" w:eastAsia="zh-CN"/>
        </w:rPr>
        <w:t>法治思维融合不够深入，部分干部职工运用法治方式解决复杂问题的能力有待提升，法治建设与业务工作“两张皮”现象尚未完全破解；</w:t>
      </w:r>
      <w:r>
        <w:rPr>
          <w:rFonts w:hint="eastAsia" w:ascii="仿宋" w:hAnsi="仿宋" w:eastAsia="仿宋" w:cs="仿宋_GB2312"/>
          <w:b/>
          <w:bCs/>
          <w:kern w:val="2"/>
          <w:sz w:val="32"/>
          <w:szCs w:val="32"/>
          <w:lang w:val="en-US" w:eastAsia="zh-CN"/>
        </w:rPr>
        <w:t>二是</w:t>
      </w:r>
      <w:r>
        <w:rPr>
          <w:rFonts w:hint="eastAsia" w:ascii="仿宋" w:hAnsi="仿宋" w:eastAsia="仿宋" w:cs="仿宋_GB2312"/>
          <w:b w:val="0"/>
          <w:bCs w:val="0"/>
          <w:kern w:val="2"/>
          <w:sz w:val="32"/>
          <w:szCs w:val="32"/>
          <w:lang w:val="en-US" w:eastAsia="zh-CN"/>
        </w:rPr>
        <w:t>执法队伍专业能力有待强化，基层执法人员多为业务转岗，复合型人才短缺，面对新型水事违法行为时，调查取证、法律适用精准度不足；</w:t>
      </w:r>
      <w:r>
        <w:rPr>
          <w:rFonts w:hint="eastAsia" w:ascii="仿宋" w:hAnsi="仿宋" w:eastAsia="仿宋" w:cs="仿宋_GB2312"/>
          <w:b/>
          <w:bCs/>
          <w:kern w:val="2"/>
          <w:sz w:val="32"/>
          <w:szCs w:val="32"/>
          <w:lang w:val="en-US" w:eastAsia="zh-CN"/>
        </w:rPr>
        <w:t>三是</w:t>
      </w:r>
      <w:r>
        <w:rPr>
          <w:rFonts w:hint="eastAsia" w:ascii="仿宋" w:hAnsi="仿宋" w:eastAsia="仿宋" w:cs="仿宋_GB2312"/>
          <w:b w:val="0"/>
          <w:bCs w:val="0"/>
          <w:kern w:val="2"/>
          <w:sz w:val="32"/>
          <w:szCs w:val="32"/>
          <w:lang w:val="en-US" w:eastAsia="zh-CN"/>
        </w:rPr>
        <w:t>普法宣传质效有待提升，宣传形式仍以传统模式为主，新媒体运用深度和广度不足，精准化、互动式普法手段较少。</w:t>
      </w:r>
    </w:p>
    <w:p w14:paraId="1C4B110A">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_GB2312"/>
          <w:b w:val="0"/>
          <w:bCs w:val="0"/>
          <w:kern w:val="2"/>
          <w:sz w:val="32"/>
          <w:szCs w:val="32"/>
          <w:lang w:val="en-US" w:eastAsia="zh-CN"/>
        </w:rPr>
      </w:pPr>
      <w:r>
        <w:rPr>
          <w:rFonts w:hint="eastAsia" w:ascii="楷体" w:hAnsi="楷体" w:eastAsia="楷体" w:cs="楷体"/>
          <w:b w:val="0"/>
          <w:bCs w:val="0"/>
          <w:kern w:val="2"/>
          <w:sz w:val="32"/>
          <w:szCs w:val="32"/>
          <w:lang w:val="en-US" w:eastAsia="zh-CN"/>
        </w:rPr>
        <w:t>（二）原因分析。</w:t>
      </w:r>
      <w:r>
        <w:rPr>
          <w:rFonts w:hint="eastAsia" w:ascii="仿宋" w:hAnsi="仿宋" w:eastAsia="仿宋" w:cs="仿宋_GB2312"/>
          <w:b/>
          <w:bCs/>
          <w:kern w:val="2"/>
          <w:sz w:val="32"/>
          <w:szCs w:val="32"/>
          <w:lang w:val="en-US" w:eastAsia="zh-CN"/>
        </w:rPr>
        <w:t>一是</w:t>
      </w:r>
      <w:r>
        <w:rPr>
          <w:rFonts w:hint="eastAsia" w:ascii="仿宋" w:hAnsi="仿宋" w:eastAsia="仿宋" w:cs="仿宋_GB2312"/>
          <w:b w:val="0"/>
          <w:bCs w:val="0"/>
          <w:kern w:val="2"/>
          <w:sz w:val="32"/>
          <w:szCs w:val="32"/>
          <w:lang w:val="en-US" w:eastAsia="zh-CN"/>
        </w:rPr>
        <w:t>思想认识存在偏差，部分干部对法治建设的基础性、保障性作用重视不够，未能充分认识到法治建设与业务工作的内在统一性；</w:t>
      </w:r>
      <w:r>
        <w:rPr>
          <w:rFonts w:hint="eastAsia" w:ascii="仿宋" w:hAnsi="仿宋" w:eastAsia="仿宋" w:cs="仿宋_GB2312"/>
          <w:b/>
          <w:bCs/>
          <w:kern w:val="2"/>
          <w:sz w:val="32"/>
          <w:szCs w:val="32"/>
          <w:lang w:val="en-US" w:eastAsia="zh-CN"/>
        </w:rPr>
        <w:t>二是</w:t>
      </w:r>
      <w:r>
        <w:rPr>
          <w:rFonts w:hint="eastAsia" w:ascii="仿宋" w:hAnsi="仿宋" w:eastAsia="仿宋" w:cs="仿宋_GB2312"/>
          <w:b w:val="0"/>
          <w:bCs w:val="0"/>
          <w:kern w:val="2"/>
          <w:sz w:val="32"/>
          <w:szCs w:val="32"/>
          <w:lang w:val="en-US" w:eastAsia="zh-CN"/>
        </w:rPr>
        <w:t>培训体系不够完善，现有培训多以理论灌输为主，缺乏针对性的案例教学和实战演练，难以有效提升干部职工法治应用能力；</w:t>
      </w:r>
      <w:r>
        <w:rPr>
          <w:rFonts w:hint="eastAsia" w:ascii="仿宋" w:hAnsi="仿宋" w:eastAsia="仿宋" w:cs="仿宋_GB2312"/>
          <w:b/>
          <w:bCs/>
          <w:kern w:val="2"/>
          <w:sz w:val="32"/>
          <w:szCs w:val="32"/>
          <w:lang w:val="en-US" w:eastAsia="zh-CN"/>
        </w:rPr>
        <w:t>三是</w:t>
      </w:r>
      <w:r>
        <w:rPr>
          <w:rFonts w:hint="eastAsia" w:ascii="仿宋" w:hAnsi="仿宋" w:eastAsia="仿宋" w:cs="仿宋_GB2312"/>
          <w:b w:val="0"/>
          <w:bCs w:val="0"/>
          <w:kern w:val="2"/>
          <w:sz w:val="32"/>
          <w:szCs w:val="32"/>
          <w:lang w:val="en-US" w:eastAsia="zh-CN"/>
        </w:rPr>
        <w:t>资源投入不足，普法宣传和执法信息化建设的经费、技术、人员保障不到位，制约了工作创新推进。</w:t>
      </w:r>
    </w:p>
    <w:p w14:paraId="5C1F8F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上一年度党政主要负责人履行推进法治建设第一责任人职责加强法治政府建设的有关情况</w:t>
      </w:r>
    </w:p>
    <w:p w14:paraId="6A5D320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（一）带头尊法学法守法用法。</w:t>
      </w:r>
      <w:r>
        <w:rPr>
          <w:rFonts w:hint="eastAsia" w:ascii="仿宋" w:hAnsi="仿宋" w:eastAsia="仿宋" w:cs="仿宋_GB2312"/>
          <w:b w:val="0"/>
          <w:bCs w:val="0"/>
          <w:kern w:val="2"/>
          <w:sz w:val="32"/>
          <w:szCs w:val="32"/>
          <w:lang w:val="en-US" w:eastAsia="zh-CN" w:bidi="ar"/>
        </w:rPr>
        <w:t>局主要负责人主持局党组理论学习中心组专题学习水法律法规和法治政府建设相关文件3次，带头参加法治培训，在重大行政决策、重要执法事项中主动征求相关意见，确保决策合法合规。</w:t>
      </w:r>
    </w:p>
    <w:p w14:paraId="7C7A74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（二）统筹推进法治建设工作。</w:t>
      </w:r>
      <w:r>
        <w:rPr>
          <w:rFonts w:hint="eastAsia" w:ascii="仿宋" w:hAnsi="仿宋" w:eastAsia="仿宋" w:cs="仿宋_GB2312"/>
          <w:b w:val="0"/>
          <w:bCs w:val="0"/>
          <w:kern w:val="2"/>
          <w:sz w:val="32"/>
          <w:szCs w:val="32"/>
          <w:lang w:val="en-US" w:eastAsia="zh-CN" w:bidi="ar"/>
        </w:rPr>
        <w:t>全年专题研究法治政府建设工作2次，亲自部署年度法治重点任务，协调解决执法装备配备，督促班子成员落实“一岗双责”，推动法治建设各项任务落地见效。</w:t>
      </w:r>
    </w:p>
    <w:p w14:paraId="56D61CA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（三）强化执法监督问效。</w:t>
      </w:r>
      <w:r>
        <w:rPr>
          <w:rFonts w:hint="eastAsia" w:ascii="仿宋" w:hAnsi="仿宋" w:eastAsia="仿宋" w:cs="仿宋_GB2312"/>
          <w:b w:val="0"/>
          <w:bCs w:val="0"/>
          <w:kern w:val="2"/>
          <w:sz w:val="32"/>
          <w:szCs w:val="32"/>
          <w:lang w:val="en-US" w:eastAsia="zh-CN" w:bidi="ar"/>
        </w:rPr>
        <w:t>定期听取行政执法工作汇报，组织开展行政执法案卷评查3次，对发现的问题亲自督办整改，确保执法行为规范公正；主动接受人大、司法、社会舆论等监督，及时回应社会关切。</w:t>
      </w:r>
    </w:p>
    <w:p w14:paraId="167855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（四）带头开展普法宣传。</w:t>
      </w:r>
      <w:r>
        <w:rPr>
          <w:rFonts w:hint="eastAsia" w:ascii="仿宋" w:hAnsi="仿宋" w:eastAsia="仿宋" w:cs="仿宋_GB2312"/>
          <w:b w:val="0"/>
          <w:bCs w:val="0"/>
          <w:kern w:val="2"/>
          <w:sz w:val="32"/>
          <w:szCs w:val="32"/>
          <w:lang w:val="en-US" w:eastAsia="zh-CN" w:bidi="ar"/>
        </w:rPr>
        <w:t>在“世界水日”“中国水周”等重要节点亲自参与集中宣传活动，带头向群众宣讲水法治知识，带动全系统形成重视法治、践行法治的良好氛围。</w:t>
      </w:r>
    </w:p>
    <w:p w14:paraId="333C7B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四、下一年度推进法治政府建设的主要安排</w:t>
      </w:r>
    </w:p>
    <w:p w14:paraId="366F18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（一）深化法治思维融入。</w:t>
      </w:r>
      <w:r>
        <w:rPr>
          <w:rFonts w:hint="eastAsia" w:ascii="仿宋" w:hAnsi="仿宋" w:eastAsia="仿宋" w:cs="仿宋_GB2312"/>
          <w:b w:val="0"/>
          <w:bCs w:val="0"/>
          <w:kern w:val="2"/>
          <w:sz w:val="32"/>
          <w:szCs w:val="32"/>
          <w:lang w:val="en-US" w:eastAsia="zh-CN" w:bidi="ar"/>
        </w:rPr>
        <w:t>坚持习近平法治思想学习教育常态化长效化，将法治培训纳入干部职工年度必修课程，通过专题研讨、案例剖析等形式，提升全系统运用法治思维和法治方式开展工作的能力，推动法治建设与业务工作深度融合。</w:t>
      </w:r>
    </w:p>
    <w:p w14:paraId="4644F7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（二）加强执法队伍建设。</w:t>
      </w:r>
      <w:r>
        <w:rPr>
          <w:rFonts w:hint="eastAsia" w:ascii="仿宋" w:hAnsi="仿宋" w:eastAsia="仿宋" w:cs="仿宋_GB2312"/>
          <w:b w:val="0"/>
          <w:bCs w:val="0"/>
          <w:kern w:val="2"/>
          <w:sz w:val="32"/>
          <w:szCs w:val="32"/>
          <w:lang w:val="en-US" w:eastAsia="zh-CN" w:bidi="ar"/>
        </w:rPr>
        <w:t>制定针对性培训计划，重点强化水法律法规、执法程序、证据收集等内容培训，鼓励执法人员考取法律职业资格和高级专业技术职称，优化执法装备配置，打造专业化、正规化执法队伍。</w:t>
      </w:r>
    </w:p>
    <w:p w14:paraId="15AEA6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（三）创新普法宣传模式。</w:t>
      </w:r>
      <w:r>
        <w:rPr>
          <w:rFonts w:hint="eastAsia" w:ascii="仿宋" w:hAnsi="仿宋" w:eastAsia="仿宋" w:cs="仿宋_GB2312"/>
          <w:b w:val="0"/>
          <w:bCs w:val="0"/>
          <w:kern w:val="2"/>
          <w:sz w:val="32"/>
          <w:szCs w:val="32"/>
          <w:lang w:val="en-US" w:eastAsia="zh-CN" w:bidi="ar"/>
        </w:rPr>
        <w:t>构建“传统媒体+新媒体”融合宣传矩阵，依托微信公众号、电视台等平台制作发布水法治短视频、典型案例解读等内容；深化“法律进企业、进乡村、进学校”精准普法活动，建立以案释法长效机制，提升普法宣传吸引力和实效性。</w:t>
      </w:r>
    </w:p>
    <w:p w14:paraId="4F88E94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（四）提升执法监管效能。</w:t>
      </w:r>
      <w:r>
        <w:rPr>
          <w:rFonts w:hint="eastAsia" w:ascii="仿宋" w:hAnsi="仿宋" w:eastAsia="仿宋" w:cs="仿宋_GB2312"/>
          <w:b w:val="0"/>
          <w:bCs w:val="0"/>
          <w:kern w:val="2"/>
          <w:sz w:val="32"/>
          <w:szCs w:val="32"/>
          <w:lang w:val="en-US" w:eastAsia="zh-CN" w:bidi="ar"/>
        </w:rPr>
        <w:t>加快推进水利执法信息化建设，对接水资源智能管控平台，构建线上监控与线下巡查相结合的非现场监管模式；深化“河长+警长+检察长”协同联动机制，加大对重点领域违法行为的打击力度，维护良好水事秩序。</w:t>
      </w:r>
    </w:p>
    <w:p w14:paraId="65EF143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楷体" w:hAnsi="楷体" w:eastAsia="楷体" w:cs="楷体"/>
          <w:b w:val="0"/>
          <w:bCs w:val="0"/>
          <w:kern w:val="2"/>
          <w:sz w:val="32"/>
          <w:szCs w:val="32"/>
          <w:lang w:val="en-US" w:eastAsia="zh-CN" w:bidi="ar"/>
        </w:rPr>
        <w:t>（五）健全长效工作机制。</w:t>
      </w:r>
      <w:r>
        <w:rPr>
          <w:rFonts w:hint="eastAsia" w:ascii="仿宋" w:hAnsi="仿宋" w:eastAsia="仿宋" w:cs="仿宋_GB2312"/>
          <w:b w:val="0"/>
          <w:bCs w:val="0"/>
          <w:kern w:val="2"/>
          <w:sz w:val="32"/>
          <w:szCs w:val="32"/>
          <w:lang w:val="en-US" w:eastAsia="zh-CN" w:bidi="ar"/>
        </w:rPr>
        <w:t>持续优化合法性审查、执法监督、纠纷化解等制度流程，将法治建设成效纳入绩效考核核心指标，强化考核结果运用；完善经费保障机制，加大对法治建设的资源投入，形成“靠制度管权、靠制度管事、靠制度管人”的闭环管理体系。</w:t>
      </w:r>
    </w:p>
    <w:p w14:paraId="6C0AB82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p>
    <w:p w14:paraId="4B69AEB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p>
    <w:p w14:paraId="1CD542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r>
        <w:rPr>
          <w:rFonts w:hint="eastAsia" w:ascii="仿宋" w:hAnsi="仿宋" w:eastAsia="仿宋" w:cs="仿宋_GB2312"/>
          <w:b w:val="0"/>
          <w:bCs w:val="0"/>
          <w:kern w:val="2"/>
          <w:sz w:val="32"/>
          <w:szCs w:val="32"/>
          <w:lang w:val="en-US" w:eastAsia="zh-CN" w:bidi="ar"/>
        </w:rPr>
        <w:t xml:space="preserve">                            左贡县水利局</w:t>
      </w:r>
    </w:p>
    <w:p w14:paraId="23ED54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_GB2312"/>
          <w:b w:val="0"/>
          <w:bCs w:val="0"/>
          <w:kern w:val="2"/>
          <w:sz w:val="32"/>
          <w:szCs w:val="32"/>
          <w:lang w:val="en-US" w:eastAsia="zh-CN" w:bidi="ar"/>
        </w:rPr>
      </w:pPr>
      <w:r>
        <w:rPr>
          <w:rFonts w:hint="eastAsia" w:ascii="仿宋" w:hAnsi="仿宋" w:eastAsia="仿宋" w:cs="仿宋_GB2312"/>
          <w:b w:val="0"/>
          <w:bCs w:val="0"/>
          <w:kern w:val="2"/>
          <w:sz w:val="32"/>
          <w:szCs w:val="32"/>
          <w:lang w:val="en-US" w:eastAsia="zh-CN" w:bidi="ar"/>
        </w:rPr>
        <w:t xml:space="preserve">                            2025年1月9日</w:t>
      </w:r>
      <w:bookmarkStart w:id="0" w:name="_GoBack"/>
      <w:bookmarkEnd w:id="0"/>
    </w:p>
    <w:p w14:paraId="54F74E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b w:val="0"/>
          <w:bCs w:val="0"/>
          <w:kern w:val="2"/>
          <w:sz w:val="32"/>
          <w:szCs w:val="32"/>
          <w:lang w:val="en-US" w:eastAsia="zh-CN" w:bidi="ar"/>
        </w:rPr>
      </w:pPr>
    </w:p>
    <w:p w14:paraId="0B988E92">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5D402-91E2-4DA9-A900-DFA3040D8E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7A7003BA-D75A-473C-B6E0-8F231A792699}"/>
  </w:font>
  <w:font w:name="仿宋_GB2312">
    <w:altName w:val="仿宋"/>
    <w:panose1 w:val="02010609030101010101"/>
    <w:charset w:val="86"/>
    <w:family w:val="auto"/>
    <w:pitch w:val="default"/>
    <w:sig w:usb0="00000000" w:usb1="00000000" w:usb2="00000000" w:usb3="00000000" w:csb0="00040000" w:csb1="00000000"/>
    <w:embedRegular r:id="rId3" w:fontKey="{CE404D3C-6BD8-4857-8F80-C9BCE73FD43B}"/>
  </w:font>
  <w:font w:name="方正小标宋简体">
    <w:panose1 w:val="02010600010101010101"/>
    <w:charset w:val="86"/>
    <w:family w:val="auto"/>
    <w:pitch w:val="default"/>
    <w:sig w:usb0="00000001" w:usb1="080E0000" w:usb2="00000000" w:usb3="00000000" w:csb0="00040000" w:csb1="00000000"/>
    <w:embedRegular r:id="rId4" w:fontKey="{E2A9C54F-B902-42E5-A3FD-0BE139583DFC}"/>
  </w:font>
  <w:font w:name="楷体">
    <w:panose1 w:val="02010609060101010101"/>
    <w:charset w:val="86"/>
    <w:family w:val="auto"/>
    <w:pitch w:val="default"/>
    <w:sig w:usb0="800002BF" w:usb1="38CF7CFA" w:usb2="00000016" w:usb3="00000000" w:csb0="00040001" w:csb1="00000000"/>
    <w:embedRegular r:id="rId5" w:fontKey="{7A5FBC72-D462-4C29-8650-95729D1691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86399"/>
    <w:rsid w:val="299C2C6F"/>
    <w:rsid w:val="43786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1929</Words>
  <Characters>1943</Characters>
  <Lines>0</Lines>
  <Paragraphs>0</Paragraphs>
  <TotalTime>33</TotalTime>
  <ScaleCrop>false</ScaleCrop>
  <LinksUpToDate>false</LinksUpToDate>
  <CharactersWithSpaces>1944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2026-01-09T04:06:00Z</dcterms:created>
  <dc:creator>piantuoklha</dc:creator>
  <cp:lastModifiedBy>江山如此多娇</cp:lastModifiedBy>
  <dcterms:modified xsi:type="dcterms:W3CDTF">2026-01-09T09:39:16Z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1C96C158D2A748F69E2B244A2824ECF2_11</vt:lpwstr>
  </property>
  <property fmtid="{D5CDD505-2E9C-101B-9397-08002B2CF9AE}" pid="4" name="KSOTemplateDocerSaveRecord">
    <vt:lpwstr>eyJoZGlkIjoiYThhYWRkYmExOTc3ZDI0ZDNiNDNkYmQ1ZWMxZjE1NGUiLCJ1c2VySWQiOiIyNTkxNTc5NjUifQ==</vt:lpwstr>
  </property>
</Properties>
</file>